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spacing w:before="1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68" w:right="295"/>
        <w:jc w:val="center"/>
        <w:spacing w:line="1058" w:lineRule="exact"/>
        <w:rPr>
          <w:rFonts w:hint="default" w:ascii="Times New Roman" w:hAnsi="Times New Roman" w:eastAsia="宋体" w:cs="Times New Roman"/>
          <w:color w:val="auto"/>
          <w:sz w:val="84"/>
          <w:highlight w:val="none"/>
        </w:rPr>
        <w:outlineLvl w:val="0"/>
      </w:pPr>
      <w:r/>
      <w:bookmarkStart w:id="0" w:name="_Toc3088"/>
      <w:r/>
      <w:bookmarkStart w:id="1" w:name="_Toc4761"/>
      <w:r/>
      <w:bookmarkStart w:id="2" w:name="_Toc14267"/>
      <w:r/>
      <w:bookmarkStart w:id="3" w:name="_Toc14130"/>
      <w:r/>
      <w:bookmarkStart w:id="4" w:name="_Toc31405"/>
      <w:r/>
      <w:bookmarkStart w:id="5" w:name="_Toc12055"/>
      <w:r>
        <w:rPr>
          <w:rFonts w:hint="default" w:ascii="Times New Roman" w:hAnsi="Times New Roman" w:eastAsia="宋体" w:cs="Times New Roman"/>
          <w:b/>
          <w:bCs/>
          <w:color w:val="auto"/>
          <w:sz w:val="84"/>
          <w:highlight w:val="none"/>
        </w:rPr>
        <w:t xml:space="preserve">竞争性磋商文件</w:t>
      </w:r>
      <w:bookmarkEnd w:id="0"/>
      <w:r/>
      <w:bookmarkEnd w:id="1"/>
      <w:r/>
      <w:bookmarkEnd w:id="2"/>
      <w:r/>
      <w:bookmarkEnd w:id="3"/>
      <w:r/>
      <w:bookmarkEnd w:id="4"/>
      <w:r/>
      <w:bookmarkEnd w:id="5"/>
      <w:r/>
      <w:r/>
    </w:p>
    <w:p>
      <w:pPr>
        <w:pStyle w:val="817"/>
        <w:rPr>
          <w:rFonts w:hint="default" w:ascii="Times New Roman" w:hAnsi="Times New Roman" w:eastAsia="宋体" w:cs="Times New Roman"/>
          <w:color w:val="auto"/>
          <w:sz w:val="84"/>
          <w:highlight w:val="none"/>
        </w:rPr>
      </w:pPr>
      <w:r>
        <w:rPr>
          <w:rFonts w:hint="default" w:ascii="Times New Roman" w:hAnsi="Times New Roman" w:eastAsia="宋体" w:cs="Times New Roman"/>
          <w:color w:val="auto"/>
          <w:sz w:val="84"/>
          <w:highlight w:val="none"/>
        </w:rPr>
      </w:r>
      <w:r/>
    </w:p>
    <w:p>
      <w:pPr>
        <w:pStyle w:val="817"/>
        <w:spacing w:before="10"/>
        <w:rPr>
          <w:rFonts w:hint="default" w:ascii="Times New Roman" w:hAnsi="Times New Roman" w:eastAsia="宋体" w:cs="Times New Roman"/>
          <w:color w:val="auto"/>
          <w:sz w:val="119"/>
          <w:highlight w:val="none"/>
        </w:rPr>
      </w:pPr>
      <w:r>
        <w:rPr>
          <w:rFonts w:hint="default" w:ascii="Times New Roman" w:hAnsi="Times New Roman" w:eastAsia="宋体" w:cs="Times New Roman"/>
          <w:color w:val="auto"/>
          <w:sz w:val="119"/>
          <w:highlight w:val="none"/>
        </w:rPr>
      </w:r>
      <w:r/>
    </w:p>
    <w:p>
      <w:pPr>
        <w:jc w:val="center"/>
        <w:spacing w:before="1"/>
        <w:rPr>
          <w:rFonts w:hint="default" w:ascii="Times New Roman" w:hAnsi="Times New Roman" w:eastAsia="宋体" w:cs="Times New Roman"/>
          <w:color w:val="auto"/>
          <w:sz w:val="44"/>
          <w:szCs w:val="22"/>
          <w:highlight w:val="none"/>
          <w:lang w:eastAsia="zh-CN"/>
        </w:rPr>
      </w:pPr>
      <w:r>
        <w:rPr>
          <w:rFonts w:hint="default" w:ascii="Times New Roman" w:hAnsi="Times New Roman" w:eastAsia="宋体" w:cs="Times New Roman"/>
          <w:color w:val="auto"/>
          <w:sz w:val="40"/>
          <w:szCs w:val="21"/>
          <w:highlight w:val="none"/>
        </w:rPr>
        <w:t xml:space="preserve">项目编号</w:t>
      </w:r>
      <w:r>
        <w:rPr>
          <w:rFonts w:hint="default" w:ascii="Times New Roman" w:hAnsi="Times New Roman" w:eastAsia="宋体" w:cs="Times New Roman"/>
          <w:color w:val="auto"/>
          <w:sz w:val="40"/>
          <w:szCs w:val="21"/>
          <w:highlight w:val="none"/>
          <w:lang w:val="en-US" w:eastAsia="zh-CN"/>
        </w:rPr>
        <w:t xml:space="preserve">:JSZC-320115-YFZX-C2025-0003</w:t>
      </w:r>
      <w:r/>
    </w:p>
    <w:p>
      <w:pPr>
        <w:ind w:left="3710" w:right="322" w:hanging="2228"/>
        <w:jc w:val="center"/>
        <w:spacing w:before="64" w:line="266" w:lineRule="auto"/>
        <w:rPr>
          <w:rFonts w:hint="default" w:ascii="Times New Roman" w:hAnsi="Times New Roman" w:eastAsia="宋体" w:cs="Times New Roman"/>
          <w:color w:val="auto"/>
          <w:sz w:val="40"/>
          <w:szCs w:val="21"/>
          <w:highlight w:val="none"/>
        </w:rPr>
      </w:pPr>
      <w:r>
        <w:rPr>
          <w:rFonts w:hint="default" w:ascii="Times New Roman" w:hAnsi="Times New Roman" w:eastAsia="宋体" w:cs="Times New Roman"/>
          <w:color w:val="auto"/>
          <w:sz w:val="40"/>
          <w:szCs w:val="21"/>
          <w:highlight w:val="none"/>
        </w:rPr>
      </w:r>
      <w:r/>
    </w:p>
    <w:p>
      <w:pPr>
        <w:ind w:right="322"/>
        <w:jc w:val="center"/>
        <w:spacing w:before="64" w:line="266" w:lineRule="auto"/>
        <w:rPr>
          <w:rFonts w:hint="default" w:ascii="Times New Roman" w:hAnsi="Times New Roman" w:eastAsia="宋体" w:cs="Times New Roman"/>
          <w:color w:val="auto"/>
          <w:sz w:val="40"/>
          <w:szCs w:val="21"/>
          <w:highlight w:val="none"/>
          <w:lang w:eastAsia="zh-CN"/>
        </w:rPr>
      </w:pPr>
      <w:r>
        <w:rPr>
          <w:rFonts w:hint="default" w:ascii="Times New Roman" w:hAnsi="Times New Roman" w:eastAsia="宋体" w:cs="Times New Roman"/>
          <w:color w:val="auto"/>
          <w:sz w:val="40"/>
          <w:szCs w:val="21"/>
          <w:highlight w:val="none"/>
        </w:rPr>
        <w:t xml:space="preserve">项目名称</w:t>
      </w:r>
      <w:r>
        <w:rPr>
          <w:rFonts w:hint="default" w:ascii="Times New Roman" w:hAnsi="Times New Roman" w:eastAsia="宋体" w:cs="Times New Roman"/>
          <w:color w:val="auto"/>
          <w:sz w:val="40"/>
          <w:szCs w:val="21"/>
          <w:highlight w:val="none"/>
          <w:lang w:val="en-US" w:eastAsia="zh-CN"/>
        </w:rPr>
        <w:t xml:space="preserve">:江宁区松树钻蛀类害虫系统调查项目</w:t>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56"/>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0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56"/>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0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0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0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20"/>
        <w:ind w:firstLine="600"/>
        <w:jc w:val="center"/>
        <w:rPr>
          <w:rFonts w:hint="default" w:ascii="Times New Roman" w:hAnsi="Times New Roman" w:eastAsia="宋体" w:cs="Times New Roman"/>
          <w:color w:val="auto"/>
          <w:sz w:val="30"/>
          <w:szCs w:val="30"/>
          <w:highlight w:val="none"/>
          <w:lang w:eastAsia="zh-CN"/>
        </w:rPr>
      </w:pPr>
      <w:r>
        <w:rPr>
          <w:rFonts w:hint="default" w:ascii="Times New Roman" w:hAnsi="Times New Roman" w:eastAsia="宋体" w:cs="Times New Roman"/>
          <w:color w:val="auto"/>
          <w:sz w:val="30"/>
          <w:szCs w:val="30"/>
          <w:highlight w:val="none"/>
        </w:rPr>
        <w:t xml:space="preserve">采购单位：</w:t>
      </w:r>
      <w:r>
        <w:rPr>
          <w:rFonts w:hint="default" w:ascii="Times New Roman" w:hAnsi="Times New Roman" w:eastAsia="宋体" w:cs="Times New Roman"/>
          <w:color w:val="auto"/>
          <w:sz w:val="30"/>
          <w:szCs w:val="30"/>
          <w:highlight w:val="none"/>
          <w:lang w:eastAsia="zh-CN"/>
        </w:rPr>
        <w:t xml:space="preserve">南京市江宁区农业农村局</w:t>
      </w:r>
      <w:r/>
    </w:p>
    <w:p>
      <w:pPr>
        <w:pStyle w:val="1020"/>
        <w:ind w:firstLine="600"/>
        <w:jc w:val="center"/>
        <w:rPr>
          <w:rFonts w:hint="default" w:ascii="Times New Roman" w:hAnsi="Times New Roman" w:eastAsia="宋体" w:cs="Times New Roman"/>
          <w:color w:val="auto"/>
          <w:sz w:val="30"/>
          <w:szCs w:val="30"/>
          <w:highlight w:val="none"/>
          <w:lang w:eastAsia="zh-CN"/>
        </w:rPr>
      </w:pPr>
      <w:r/>
      <w:bookmarkStart w:id="6" w:name="_Toc11770"/>
      <w:r/>
      <w:bookmarkStart w:id="7" w:name="_Toc24986"/>
      <w:r>
        <w:rPr>
          <w:rFonts w:hint="default" w:ascii="Times New Roman" w:hAnsi="Times New Roman" w:eastAsia="宋体" w:cs="Times New Roman"/>
          <w:color w:val="auto"/>
          <w:sz w:val="30"/>
          <w:szCs w:val="30"/>
          <w:highlight w:val="none"/>
        </w:rPr>
        <w:t xml:space="preserve">采购代理：</w:t>
      </w:r>
      <w:bookmarkEnd w:id="6"/>
      <w:r/>
      <w:bookmarkEnd w:id="7"/>
      <w:r>
        <w:rPr>
          <w:rFonts w:hint="eastAsia" w:cs="Times New Roman"/>
          <w:color w:val="auto"/>
          <w:sz w:val="30"/>
          <w:szCs w:val="30"/>
          <w:highlight w:val="none"/>
          <w:lang w:eastAsia="zh-CN"/>
        </w:rPr>
        <w:t xml:space="preserve"> 南京逸凡工程管理咨询有限公司</w:t>
      </w:r>
      <w:r/>
    </w:p>
    <w:p>
      <w:pPr>
        <w:pStyle w:val="1020"/>
        <w:ind w:firstLine="600"/>
        <w:jc w:val="cente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t xml:space="preserve">二〇二</w:t>
      </w:r>
      <w:r>
        <w:rPr>
          <w:rFonts w:hint="default" w:ascii="Times New Roman" w:hAnsi="Times New Roman" w:eastAsia="宋体" w:cs="Times New Roman"/>
          <w:color w:val="auto"/>
          <w:sz w:val="30"/>
          <w:szCs w:val="30"/>
          <w:highlight w:val="none"/>
          <w:lang w:val="en-US" w:eastAsia="zh-CN"/>
        </w:rPr>
        <w:t xml:space="preserve">五</w:t>
      </w:r>
      <w:r>
        <w:rPr>
          <w:rFonts w:hint="default" w:ascii="Times New Roman" w:hAnsi="Times New Roman" w:eastAsia="宋体" w:cs="Times New Roman"/>
          <w:color w:val="auto"/>
          <w:sz w:val="30"/>
          <w:szCs w:val="30"/>
          <w:highlight w:val="none"/>
        </w:rPr>
        <w:t xml:space="preserve">年</w:t>
      </w:r>
      <w:r>
        <w:rPr>
          <w:rFonts w:hint="eastAsia" w:cs="Times New Roman"/>
          <w:color w:val="auto"/>
          <w:sz w:val="30"/>
          <w:szCs w:val="30"/>
          <w:highlight w:val="none"/>
          <w:lang w:val="en-US" w:eastAsia="zh-CN"/>
        </w:rPr>
        <w:t xml:space="preserve">十二</w:t>
      </w:r>
      <w:r>
        <w:rPr>
          <w:rFonts w:hint="default" w:ascii="Times New Roman" w:hAnsi="Times New Roman" w:eastAsia="宋体" w:cs="Times New Roman"/>
          <w:color w:val="auto"/>
          <w:sz w:val="30"/>
          <w:szCs w:val="30"/>
          <w:highlight w:val="none"/>
          <w:lang w:val="en-US" w:eastAsia="zh-CN"/>
        </w:rPr>
        <w:t xml:space="preserve">月</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39"/>
        <w:tabs>
          <w:tab w:val="left" w:pos="870" w:leader="none"/>
        </w:tabs>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jc w:val="center"/>
        <w:spacing w:before="39"/>
        <w:tabs>
          <w:tab w:val="left" w:pos="870" w:leader="none"/>
        </w:tabs>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r>
      <w:r/>
    </w:p>
    <w:p>
      <w:pPr>
        <w:jc w:val="center"/>
        <w:spacing w:before="39"/>
        <w:tabs>
          <w:tab w:val="left" w:pos="870" w:leader="none"/>
        </w:tabs>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目</w:t>
      </w:r>
      <w:r>
        <w:rPr>
          <w:rFonts w:hint="default" w:ascii="Times New Roman" w:hAnsi="Times New Roman" w:eastAsia="宋体" w:cs="Times New Roman"/>
          <w:b/>
          <w:color w:val="auto"/>
          <w:sz w:val="36"/>
          <w:szCs w:val="36"/>
          <w:highlight w:val="none"/>
        </w:rPr>
        <w:tab/>
      </w:r>
      <w:r>
        <w:rPr>
          <w:rFonts w:hint="default" w:ascii="Times New Roman" w:hAnsi="Times New Roman" w:eastAsia="宋体" w:cs="Times New Roman"/>
          <w:b/>
          <w:color w:val="auto"/>
          <w:sz w:val="36"/>
          <w:szCs w:val="36"/>
          <w:highlight w:val="none"/>
        </w:rPr>
        <w:t xml:space="preserve">录</w:t>
      </w:r>
      <w:r/>
    </w:p>
    <w:sdt>
      <w:sdtPr>
        <w15:appearance w15:val="boundingBox"/>
        <w15:color w:val="dbdbdb"/>
        <w:id w:val="147465878"/>
        <w:docPartObj>
          <w:docPartGallery w:val="Table of Contents"/>
          <w:docPartUnique w:val="true"/>
        </w:docPartObj>
        <w:rPr>
          <w:rFonts w:hint="default" w:ascii="宋体" w:hAnsi="宋体" w:eastAsia="宋体" w:cs="宋体"/>
          <w:color w:val="auto"/>
          <w:sz w:val="21"/>
          <w:szCs w:val="22"/>
          <w:highlight w:val="none"/>
          <w:lang w:val="zh-CN" w:eastAsia="zh-CN" w:bidi="zh-CN"/>
        </w:rPr>
      </w:sdtPr>
      <w:sdtContent>
        <w:p>
          <w:pPr>
            <w:ind w:left="0" w:right="0" w:firstLine="0"/>
            <w:jc w:val="center"/>
            <w:spacing w:before="0" w:after="0" w:line="240" w:lineRule="auto"/>
            <w:rPr>
              <w:color w:val="auto"/>
              <w:highlight w:val="none"/>
            </w:rPr>
          </w:pPr>
          <w:r>
            <w:rPr>
              <w:color w:val="auto"/>
              <w:highlight w:val="none"/>
            </w:rPr>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"1-1" \h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_Toc4761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highlight w:val="none"/>
            </w:rPr>
            <w:t xml:space="preserve">竞争性磋商文件</w:t>
          </w:r>
          <w:r>
            <w:rPr>
              <w:color w:val="auto"/>
              <w:highlight w:val="none"/>
            </w:rPr>
            <w:tab/>
          </w:r>
          <w:r>
            <w:rPr>
              <w:color w:val="auto"/>
              <w:highlight w:val="none"/>
            </w:rPr>
            <w:fldChar w:fldCharType="begin"/>
          </w:r>
          <w:r>
            <w:rPr>
              <w:color w:val="auto"/>
              <w:highlight w:val="none"/>
            </w:rPr>
            <w:instrText xml:space="preserve"> PAGEREF _Toc4761 \h </w:instrText>
          </w:r>
          <w:r>
            <w:rPr>
              <w:color w:val="auto"/>
              <w:highlight w:val="none"/>
            </w:rPr>
            <w:fldChar w:fldCharType="separate"/>
          </w:r>
          <w:r>
            <w:rPr>
              <w:color w:val="auto"/>
              <w:highlight w:val="none"/>
            </w:rPr>
            <w:t xml:space="preserve">1</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_Toc6182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第一章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szCs w:val="36"/>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_Toc6182 \h </w:instrText>
          </w:r>
          <w:r>
            <w:rPr>
              <w:color w:val="auto"/>
              <w:highlight w:val="none"/>
            </w:rPr>
            <w:fldChar w:fldCharType="separate"/>
          </w:r>
          <w:r>
            <w:rPr>
              <w:color w:val="auto"/>
              <w:highlight w:val="none"/>
            </w:rPr>
            <w:t xml:space="preserve">3</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_Toc5829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二</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szCs w:val="36"/>
              <w:highlight w:val="none"/>
            </w:rPr>
            <w:t xml:space="preserve">竞争性磋商须知</w:t>
          </w:r>
          <w:r>
            <w:rPr>
              <w:color w:val="auto"/>
              <w:highlight w:val="none"/>
            </w:rPr>
            <w:tab/>
          </w:r>
          <w:r>
            <w:rPr>
              <w:color w:val="auto"/>
              <w:highlight w:val="none"/>
            </w:rPr>
            <w:fldChar w:fldCharType="begin"/>
          </w:r>
          <w:r>
            <w:rPr>
              <w:color w:val="auto"/>
              <w:highlight w:val="none"/>
            </w:rPr>
            <w:instrText xml:space="preserve"> PAGEREF _Toc5829 \h </w:instrText>
          </w:r>
          <w:r>
            <w:rPr>
              <w:color w:val="auto"/>
              <w:highlight w:val="none"/>
            </w:rPr>
            <w:fldChar w:fldCharType="separate"/>
          </w:r>
          <w:r>
            <w:rPr>
              <w:color w:val="auto"/>
              <w:highlight w:val="none"/>
            </w:rPr>
            <w:t xml:space="preserve">8</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_Toc5961 </w:instrText>
          </w:r>
          <w:r>
            <w:rPr>
              <w:rFonts w:hint="default" w:ascii="Times New Roman" w:hAnsi="Times New Roman" w:eastAsia="宋体" w:cs="Times New Roman"/>
              <w:color w:val="auto"/>
              <w:highlight w:val="none"/>
            </w:rPr>
            <w:fldChar w:fldCharType="separate"/>
          </w:r>
          <w:r>
            <w:rPr>
              <w:rFonts w:hint="eastAsia" w:ascii="Times New Roman" w:hAnsi="Times New Roman" w:eastAsia="宋体" w:cs="Times New Roman"/>
              <w:bCs/>
              <w:color w:val="auto"/>
              <w:szCs w:val="22"/>
              <w:highlight w:val="none"/>
            </w:rPr>
            <w:t xml:space="preserve">第三章 </w:t>
          </w:r>
          <w:r>
            <w:rPr>
              <w:rFonts w:hint="default" w:ascii="Times New Roman" w:hAnsi="Times New Roman" w:eastAsia="宋体" w:cs="Times New Roman"/>
              <w:bCs/>
              <w:color w:val="auto"/>
              <w:szCs w:val="22"/>
              <w:highlight w:val="none"/>
            </w:rPr>
            <w:t xml:space="preserve">磋商项目需求</w:t>
          </w:r>
          <w:r>
            <w:rPr>
              <w:color w:val="auto"/>
              <w:highlight w:val="none"/>
            </w:rPr>
            <w:tab/>
          </w:r>
          <w:r>
            <w:rPr>
              <w:color w:val="auto"/>
              <w:highlight w:val="none"/>
            </w:rPr>
            <w:fldChar w:fldCharType="begin"/>
          </w:r>
          <w:r>
            <w:rPr>
              <w:color w:val="auto"/>
              <w:highlight w:val="none"/>
            </w:rPr>
            <w:instrText xml:space="preserve"> PAGEREF _Toc5961 \h </w:instrText>
          </w:r>
          <w:r>
            <w:rPr>
              <w:color w:val="auto"/>
              <w:highlight w:val="none"/>
            </w:rPr>
            <w:fldChar w:fldCharType="separate"/>
          </w:r>
          <w:r>
            <w:rPr>
              <w:color w:val="auto"/>
              <w:highlight w:val="none"/>
            </w:rPr>
            <w:t xml:space="preserve">20</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_Toc25095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四</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highlight w:val="none"/>
            </w:rPr>
            <w:t xml:space="preserve">评分标准</w:t>
          </w:r>
          <w:r>
            <w:rPr>
              <w:color w:val="auto"/>
              <w:highlight w:val="none"/>
            </w:rPr>
            <w:tab/>
          </w:r>
          <w:r>
            <w:rPr>
              <w:color w:val="auto"/>
              <w:highlight w:val="none"/>
            </w:rPr>
            <w:fldChar w:fldCharType="begin"/>
          </w:r>
          <w:r>
            <w:rPr>
              <w:color w:val="auto"/>
              <w:highlight w:val="none"/>
            </w:rPr>
            <w:instrText xml:space="preserve"> PAGEREF _Toc25095 \h </w:instrText>
          </w:r>
          <w:r>
            <w:rPr>
              <w:color w:val="auto"/>
              <w:highlight w:val="none"/>
            </w:rPr>
            <w:fldChar w:fldCharType="separate"/>
          </w:r>
          <w:r>
            <w:rPr>
              <w:color w:val="auto"/>
              <w:highlight w:val="none"/>
            </w:rPr>
            <w:t xml:space="preserve">23</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_Toc6299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五</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color w:val="auto"/>
              <w:spacing w:val="-2"/>
              <w:szCs w:val="36"/>
              <w:highlight w:val="none"/>
            </w:rPr>
            <w:t xml:space="preserve">采购合同格式</w:t>
          </w:r>
          <w:r>
            <w:rPr>
              <w:color w:val="auto"/>
              <w:highlight w:val="none"/>
            </w:rPr>
            <w:tab/>
          </w:r>
          <w:r>
            <w:rPr>
              <w:color w:val="auto"/>
              <w:highlight w:val="none"/>
            </w:rPr>
            <w:fldChar w:fldCharType="begin"/>
          </w:r>
          <w:r>
            <w:rPr>
              <w:color w:val="auto"/>
              <w:highlight w:val="none"/>
            </w:rPr>
            <w:instrText xml:space="preserve"> PAGEREF _Toc6299 \h </w:instrText>
          </w:r>
          <w:r>
            <w:rPr>
              <w:color w:val="auto"/>
              <w:highlight w:val="none"/>
            </w:rPr>
            <w:fldChar w:fldCharType="separate"/>
          </w:r>
          <w:r>
            <w:rPr>
              <w:color w:val="auto"/>
              <w:highlight w:val="none"/>
            </w:rPr>
            <w:t xml:space="preserve">28</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831"/>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_Toc32099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_Toc32099 \h </w:instrText>
          </w:r>
          <w:r>
            <w:rPr>
              <w:color w:val="auto"/>
              <w:highlight w:val="none"/>
            </w:rPr>
            <w:fldChar w:fldCharType="separate"/>
          </w:r>
          <w:r>
            <w:rPr>
              <w:color w:val="auto"/>
              <w:highlight w:val="none"/>
            </w:rPr>
            <w:t xml:space="preserve">41</w:t>
          </w:r>
          <w:r>
            <w:rPr>
              <w:color w:val="auto"/>
              <w:highlight w:val="none"/>
            </w:rPr>
            <w:fldChar w:fldCharType="end"/>
          </w:r>
          <w:r>
            <w:rPr>
              <w:rFonts w:hint="default" w:ascii="Times New Roman" w:hAnsi="Times New Roman" w:eastAsia="宋体" w:cs="Times New Roman"/>
              <w:color w:val="auto"/>
              <w:highlight w:val="none"/>
            </w:rPr>
            <w:fldChar w:fldCharType="end"/>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p>
      </w:sdtContent>
    </w:sdt>
    <w:p>
      <w:pPr>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jc w:val="center"/>
        <w:tabs>
          <w:tab w:val="left" w:pos="7200" w:leader="none"/>
        </w:tabs>
        <w:rPr>
          <w:rFonts w:hint="default" w:ascii="Times New Roman" w:hAnsi="Times New Roman" w:eastAsia="宋体" w:cs="Times New Roman"/>
          <w:b/>
          <w:bCs/>
          <w:color w:val="auto"/>
          <w:sz w:val="36"/>
          <w:szCs w:val="36"/>
          <w:highlight w:val="none"/>
        </w:rPr>
        <w:outlineLvl w:val="0"/>
      </w:pPr>
      <w:r/>
      <w:bookmarkStart w:id="8" w:name="_Toc6182"/>
      <w:r/>
      <w:bookmarkStart w:id="9" w:name="_Toc26694_WPSOffice_Level1"/>
      <w:r/>
      <w:bookmarkStart w:id="10" w:name="_Toc18618"/>
      <w:r>
        <w:rPr>
          <w:rFonts w:hint="default" w:ascii="Times New Roman" w:hAnsi="Times New Roman" w:eastAsia="宋体" w:cs="Times New Roman"/>
          <w:b/>
          <w:bCs/>
          <w:color w:val="auto"/>
          <w:sz w:val="36"/>
          <w:szCs w:val="36"/>
          <w:highlight w:val="none"/>
        </w:rPr>
        <w:t xml:space="preserve">第一章</w:t>
      </w:r>
      <w:bookmarkStart w:id="11" w:name="第一章_磋商邀请"/>
      <w:r/>
      <w:bookmarkEnd w:id="11"/>
      <w:r/>
      <w:bookmarkStart w:id="12" w:name="_bookmark0"/>
      <w:r/>
      <w:bookmarkEnd w:id="12"/>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szCs w:val="36"/>
          <w:highlight w:val="none"/>
        </w:rPr>
        <w:t xml:space="preserve">磋商邀请</w:t>
      </w:r>
      <w:bookmarkEnd w:id="8"/>
      <w:r/>
      <w:bookmarkEnd w:id="9"/>
      <w:r/>
      <w:bookmarkEnd w:id="10"/>
      <w:r/>
      <w:r/>
    </w:p>
    <w:p>
      <w:pPr>
        <w:pStyle w:val="843"/>
        <w:ind w:left="240" w:right="240" w:firstLine="482"/>
        <w:spacing w:before="240" w:beforeAutospacing="0" w:after="240" w:afterAutospacing="0" w:line="360" w:lineRule="atLeast"/>
        <w:widowControl/>
        <w:rPr>
          <w:rFonts w:hint="default" w:ascii="Times New Roman" w:hAnsi="Times New Roman" w:eastAsia="宋体" w:cs="Times New Roman"/>
          <w:color w:val="auto"/>
          <w:szCs w:val="24"/>
          <w:highlight w:val="none"/>
        </w:rPr>
      </w:pPr>
      <w:r>
        <w:rPr>
          <w:rStyle w:val="849"/>
          <w:rFonts w:hint="eastAsia" w:ascii="Times New Roman" w:hAnsi="Times New Roman" w:cs="Times New Roman"/>
          <w:color w:val="auto"/>
          <w:szCs w:val="24"/>
          <w:highlight w:val="none"/>
          <w:lang w:eastAsia="zh-CN"/>
        </w:rPr>
        <w:t xml:space="preserve"> 南京逸凡工程管理咨询有限公司</w:t>
      </w:r>
      <w:r>
        <w:rPr>
          <w:rFonts w:hint="default" w:ascii="Times New Roman" w:hAnsi="Times New Roman" w:eastAsia="宋体" w:cs="Times New Roman"/>
          <w:color w:val="auto"/>
          <w:szCs w:val="24"/>
          <w:highlight w:val="none"/>
        </w:rPr>
        <w:t xml:space="preserve">（以下简称"采购代理机构"）受</w:t>
      </w:r>
      <w:r>
        <w:rPr>
          <w:rStyle w:val="849"/>
          <w:rFonts w:hint="default" w:ascii="Times New Roman" w:hAnsi="Times New Roman" w:eastAsia="宋体" w:cs="Times New Roman"/>
          <w:color w:val="auto"/>
          <w:szCs w:val="24"/>
          <w:highlight w:val="none"/>
          <w:lang w:eastAsia="zh-CN"/>
        </w:rPr>
        <w:t xml:space="preserve">南京市江宁区农业农村局</w:t>
      </w:r>
      <w:r>
        <w:rPr>
          <w:rFonts w:hint="default" w:ascii="Times New Roman" w:hAnsi="Times New Roman" w:eastAsia="宋体" w:cs="Times New Roman"/>
          <w:color w:val="auto"/>
          <w:szCs w:val="24"/>
          <w:highlight w:val="none"/>
        </w:rPr>
        <w:t xml:space="preserve">(单位名称，以下简称"采购人"）委托，就</w:t>
      </w:r>
      <w:r>
        <w:rPr>
          <w:rFonts w:hint="eastAsia" w:ascii="Times New Roman" w:hAnsi="Times New Roman" w:cs="Times New Roman"/>
          <w:b/>
          <w:bCs/>
          <w:color w:val="auto"/>
          <w:szCs w:val="24"/>
          <w:highlight w:val="none"/>
          <w:lang w:eastAsia="zh-CN"/>
        </w:rPr>
        <w:t xml:space="preserve">江宁区松树钻蛀类害虫系统调查项目</w:t>
      </w:r>
      <w:r>
        <w:rPr>
          <w:rFonts w:hint="default" w:ascii="Times New Roman" w:hAnsi="Times New Roman" w:eastAsia="宋体" w:cs="Times New Roman"/>
          <w:color w:val="auto"/>
          <w:szCs w:val="24"/>
          <w:highlight w:val="none"/>
        </w:rPr>
        <w:t xml:space="preserve">（项目名称）进行竞争性磋商采购，兹邀请符合资格条件的供应商提交响应文件和磋商。</w:t>
      </w:r>
      <w:r>
        <w:rPr>
          <w:rStyle w:val="849"/>
          <w:rFonts w:hint="default" w:ascii="Times New Roman" w:hAnsi="Times New Roman" w:eastAsia="宋体" w:cs="Times New Roman"/>
          <w:color w:val="auto"/>
          <w:szCs w:val="24"/>
          <w:highlight w:val="none"/>
        </w:rPr>
        <w:t xml:space="preserve"> </w:t>
      </w:r>
      <w:r/>
    </w:p>
    <w:p>
      <w:pPr>
        <w:pStyle w:val="843"/>
        <w:ind w:left="240" w:right="240"/>
        <w:spacing w:before="240" w:beforeAutospacing="0" w:after="240" w:afterAutospacing="0" w:line="360" w:lineRule="atLeast"/>
        <w:widowControl/>
        <w:rPr>
          <w:rFonts w:hint="default" w:ascii="Times New Roman" w:hAnsi="Times New Roman" w:eastAsia="宋体" w:cs="Times New Roman"/>
          <w:color w:val="auto"/>
          <w:szCs w:val="24"/>
          <w:highlight w:val="none"/>
        </w:rPr>
        <w:outlineLvl w:val="1"/>
      </w:pPr>
      <w:r>
        <w:rPr>
          <w:rStyle w:val="849"/>
          <w:rFonts w:hint="default" w:ascii="Times New Roman" w:hAnsi="Times New Roman" w:eastAsia="宋体" w:cs="Times New Roman"/>
          <w:color w:val="auto"/>
          <w:szCs w:val="24"/>
          <w:highlight w:val="none"/>
        </w:rPr>
        <w:t xml:space="preserve">一、项目概述 </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1、项目编号：</w:t>
      </w:r>
      <w:r>
        <w:rPr>
          <w:rFonts w:ascii="Segoe UI" w:hAnsi="Segoe UI" w:eastAsia="Segoe UI" w:cs="Segoe UI"/>
          <w:i w:val="0"/>
          <w:iCs w:val="0"/>
          <w:caps w:val="0"/>
          <w:spacing w:val="0"/>
          <w:sz w:val="21"/>
          <w:szCs w:val="21"/>
          <w:highlight w:val="none"/>
          <w:shd w:val="clear" w:color="auto" w:fill="ffffff"/>
        </w:rPr>
        <w:t xml:space="preserve">JSZC-320115-YFZX-C2025-0003</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2、项目名称：</w:t>
      </w:r>
      <w:r>
        <w:rPr>
          <w:rFonts w:hint="eastAsia" w:ascii="Times New Roman" w:hAnsi="Times New Roman" w:cs="Times New Roman"/>
          <w:color w:val="auto"/>
          <w:sz w:val="24"/>
          <w:szCs w:val="24"/>
          <w:highlight w:val="none"/>
          <w:lang w:val="en-US" w:eastAsia="zh-CN"/>
        </w:rPr>
        <w:t xml:space="preserve">江宁区松树钻蛀类害虫系统调查项目</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3、采购方式：竞争性磋商</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4、预算金额：</w:t>
      </w:r>
      <w:r>
        <w:rPr>
          <w:rFonts w:hint="eastAsia" w:ascii="Times New Roman" w:hAnsi="Times New Roman" w:cs="Times New Roman"/>
          <w:color w:val="auto"/>
          <w:sz w:val="24"/>
          <w:szCs w:val="24"/>
          <w:highlight w:val="none"/>
          <w:lang w:val="en-US" w:eastAsia="zh-CN"/>
        </w:rPr>
        <w:t xml:space="preserve">59.90万元</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5、最高限价：</w:t>
      </w:r>
      <w:r>
        <w:rPr>
          <w:rFonts w:hint="eastAsia" w:ascii="Times New Roman" w:hAnsi="Times New Roman" w:cs="Times New Roman"/>
          <w:color w:val="auto"/>
          <w:sz w:val="24"/>
          <w:szCs w:val="24"/>
          <w:highlight w:val="none"/>
          <w:lang w:val="en-US" w:eastAsia="zh-CN"/>
        </w:rPr>
        <w:t xml:space="preserve">59.90</w:t>
      </w:r>
      <w:r>
        <w:rPr>
          <w:rFonts w:hint="default" w:ascii="Times New Roman" w:hAnsi="Times New Roman" w:eastAsia="宋体" w:cs="Times New Roman"/>
          <w:color w:val="auto"/>
          <w:sz w:val="24"/>
          <w:szCs w:val="24"/>
          <w:highlight w:val="none"/>
          <w:lang w:val="en-US"/>
        </w:rPr>
        <w:t xml:space="preserve"> </w:t>
      </w:r>
      <w:r>
        <w:rPr>
          <w:rFonts w:hint="eastAsia" w:ascii="Times New Roman" w:hAnsi="Times New Roman" w:cs="Times New Roman"/>
          <w:color w:val="auto"/>
          <w:sz w:val="24"/>
          <w:szCs w:val="24"/>
          <w:highlight w:val="none"/>
          <w:lang w:val="en-US" w:eastAsia="zh-CN"/>
        </w:rPr>
        <w:t xml:space="preserve">万元</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投标报价超出招标控制价的按无效</w:t>
      </w:r>
      <w:r>
        <w:rPr>
          <w:rFonts w:hint="default" w:ascii="Times New Roman" w:hAnsi="Times New Roman" w:eastAsia="宋体" w:cs="Times New Roman"/>
          <w:color w:val="auto"/>
          <w:sz w:val="24"/>
          <w:highlight w:val="none"/>
          <w:lang w:eastAsia="zh-CN"/>
        </w:rPr>
        <w:t xml:space="preserve">投</w:t>
      </w:r>
      <w:r>
        <w:rPr>
          <w:rFonts w:hint="default" w:ascii="Times New Roman" w:hAnsi="Times New Roman" w:eastAsia="宋体" w:cs="Times New Roman"/>
          <w:color w:val="auto"/>
          <w:sz w:val="24"/>
          <w:highlight w:val="none"/>
        </w:rPr>
        <w:t xml:space="preserve">标处理</w:t>
      </w:r>
      <w:r>
        <w:rPr>
          <w:rFonts w:hint="default" w:ascii="Times New Roman" w:hAnsi="Times New Roman" w:eastAsia="宋体" w:cs="Times New Roman"/>
          <w:color w:val="auto"/>
          <w:sz w:val="24"/>
          <w:szCs w:val="24"/>
          <w:highlight w:val="none"/>
          <w:lang w:val="en-US"/>
        </w:rPr>
        <w:t xml:space="preserve">。</w:t>
      </w:r>
      <w:r/>
    </w:p>
    <w:p>
      <w:pPr>
        <w:ind w:firstLine="480"/>
        <w:jc w:val="both"/>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6、采购需求：具体内容详见竞争性磋商文件。</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7、服务期限：</w:t>
      </w:r>
      <w:r>
        <w:rPr>
          <w:rFonts w:hint="eastAsia" w:ascii="Times New Roman" w:hAnsi="Times New Roman" w:cs="Times New Roman"/>
          <w:color w:val="auto"/>
          <w:sz w:val="24"/>
          <w:szCs w:val="24"/>
          <w:highlight w:val="none"/>
          <w:lang w:val="en-US" w:eastAsia="zh-CN"/>
        </w:rPr>
        <w:t xml:space="preserve">1年，</w:t>
      </w:r>
      <w:r>
        <w:rPr>
          <w:rFonts w:hint="eastAsia" w:ascii="Times New Roman" w:hAnsi="Times New Roman" w:eastAsia="宋体" w:cs="Times New Roman"/>
          <w:color w:val="auto"/>
          <w:sz w:val="24"/>
          <w:szCs w:val="24"/>
          <w:highlight w:val="none"/>
          <w:lang w:val="en-US" w:eastAsia="zh-CN"/>
        </w:rPr>
        <w:t xml:space="preserve">2025年12月至2026年11月</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8、本项目不接受联合体。</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二、申请人的资格要求</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1、满足《中华人民共和国政府采购法》第二十二条规定：</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（1）具有独立承担民事责任的能力（提供法人或者其他组织的营业执照，自然人的身份证，</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（2）具有良好的商业信誉和健全的财务会计制度（提供参加本次政府采购活动前</w:t>
      </w:r>
      <w:r>
        <w:rPr>
          <w:rFonts w:hint="eastAsia" w:ascii="Times New Roman" w:hAnsi="Times New Roman" w:cs="Times New Roman"/>
          <w:color w:val="auto"/>
          <w:sz w:val="24"/>
          <w:szCs w:val="24"/>
          <w:highlight w:val="none"/>
          <w:lang w:eastAsia="zh-CN"/>
        </w:rPr>
        <w:t xml:space="preserve">近半年任意一个月</w:t>
      </w:r>
      <w:r>
        <w:rPr>
          <w:rFonts w:hint="default" w:ascii="Times New Roman" w:hAnsi="Times New Roman" w:eastAsia="宋体" w:cs="Times New Roman"/>
          <w:color w:val="auto"/>
          <w:sz w:val="24"/>
          <w:szCs w:val="24"/>
          <w:highlight w:val="none"/>
        </w:rPr>
        <w:t xml:space="preserve">的财务状况报告（至少包括资产负债表和利润表，法人或者其他组织成立未满一年的可以不提供</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w:t>
      </w:r>
      <w:r>
        <w:rPr>
          <w:rFonts w:hint="default" w:ascii="Times New Roman" w:hAnsi="Times New Roman" w:eastAsia="宋体" w:cs="Times New Roman"/>
          <w:color w:val="auto"/>
          <w:sz w:val="24"/>
          <w:szCs w:val="24"/>
          <w:highlight w:val="none"/>
          <w:lang w:val="en-US"/>
        </w:rPr>
        <w:t xml:space="preserve">或</w:t>
      </w:r>
      <w:r>
        <w:rPr>
          <w:rFonts w:hint="default" w:ascii="Times New Roman" w:hAnsi="Times New Roman" w:eastAsia="宋体" w:cs="Times New Roman"/>
          <w:color w:val="auto"/>
          <w:sz w:val="24"/>
          <w:szCs w:val="24"/>
          <w:highlight w:val="none"/>
        </w:rPr>
        <w:t xml:space="preserve">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（3）具有履行合同所必需的设备和专业技术能力（根据项目需求提供履行合同所必需的设备和专业技术能力的证明材料，</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（4）有依法缴纳税收和社会保障资金的良好记录（提供参加本次政府采购活动前半年内（至少一个月）依法缴纳税收和社会保障资金的相关资料，</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（6）法律、行政法规规定的其他条件。</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2、落实政府采购政策需满足的资格要求：</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（如属于专门面向中小企业采购的项目，供应商应为中小微企业、监狱企业、残疾人福利性单位）。</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本项目按照采用以下第（</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rPr>
        <w:t xml:space="preserve">）种方式落实政府采购促进中小企业发展的要求：</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（1）本项目整体专门面向中小企业采购服务。</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本项目采购标的对应的中小企业划分标准所属行业为：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（2）本项目整体专门面向小微企业采购服务。</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（3）本项目通过以下第（ ）种方式预留部分采购份额采购中小企业服务：</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①本项目要求供应商以联合体形式参加，企业合同金额应当达到的比例为  %。</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②本项目要求供应商进行合同分包，企业合同金额应当达到的比例为  %。</w:t>
      </w:r>
      <w:r/>
    </w:p>
    <w:p>
      <w:pPr>
        <w:ind w:firstLine="480"/>
        <w:spacing w:line="360" w:lineRule="auto"/>
        <w:rPr>
          <w:rFonts w:hint="default" w:ascii="Times New Roman" w:hAnsi="Times New Roman" w:eastAsia="宋体" w:cs="Times New Roman"/>
          <w:color w:val="auto"/>
          <w:sz w:val="24"/>
          <w:szCs w:val="24"/>
          <w:highlight w:val="none"/>
          <w:lang w:val="en-US"/>
        </w:rPr>
        <w:outlineLvl w:val="9"/>
      </w:pPr>
      <w:r>
        <w:rPr>
          <w:rFonts w:hint="default" w:ascii="Times New Roman" w:hAnsi="Times New Roman" w:eastAsia="宋体" w:cs="Times New Roman"/>
          <w:color w:val="auto"/>
          <w:sz w:val="24"/>
          <w:szCs w:val="24"/>
          <w:highlight w:val="none"/>
          <w:lang w:val="en-US"/>
        </w:rPr>
        <w:t xml:space="preserve">（4）本项目为非预留份额的采购项目或采购包，执行价格扣除优惠政策，具体详见第</w:t>
      </w:r>
      <w:r>
        <w:rPr>
          <w:rFonts w:hint="eastAsia" w:ascii="Times New Roman" w:hAnsi="Times New Roman"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lang w:val="en-US"/>
        </w:rPr>
        <w:t xml:space="preserve">章评标标准。</w:t>
      </w:r>
      <w:r/>
    </w:p>
    <w:p>
      <w:pPr>
        <w:ind w:firstLine="480"/>
        <w:jc w:val="both"/>
        <w:spacing w:line="360" w:lineRule="auto"/>
        <w:rPr>
          <w:rFonts w:hint="default" w:ascii="Times New Roman" w:hAnsi="Times New Roman" w:eastAsia="宋体" w:cs="Times New Roman"/>
          <w:color w:val="auto"/>
          <w:sz w:val="24"/>
          <w:highlight w:val="none"/>
        </w:rPr>
        <w:outlineLvl w:val="2"/>
      </w:pPr>
      <w:r>
        <w:rPr>
          <w:rFonts w:hint="default" w:ascii="Times New Roman" w:hAnsi="Times New Roman" w:eastAsia="宋体" w:cs="Times New Roman"/>
          <w:color w:val="auto"/>
          <w:sz w:val="24"/>
          <w:highlight w:val="none"/>
        </w:rPr>
        <w:t xml:space="preserve">3、本项目的特定资格要求：</w:t>
      </w:r>
      <w:r/>
    </w:p>
    <w:p>
      <w:pPr>
        <w:ind w:firstLine="480"/>
        <w:spacing w:line="360" w:lineRule="auto"/>
        <w:rPr>
          <w:rFonts w:hint="eastAsia" w:ascii="Times New Roman" w:hAnsi="Times New Roman" w:eastAsia="宋体" w:cs="Times New Roman"/>
          <w:color w:val="auto"/>
          <w:sz w:val="24"/>
          <w:szCs w:val="24"/>
          <w:highlight w:val="none"/>
          <w:lang w:val="en-US" w:eastAsia="zh-CN"/>
        </w:rPr>
        <w:outlineLvl w:val="2"/>
      </w:pPr>
      <w:r>
        <w:rPr>
          <w:rFonts w:hint="eastAsia" w:ascii="Times New Roman" w:hAnsi="Times New Roman" w:cs="Times New Roman"/>
          <w:color w:val="auto"/>
          <w:sz w:val="24"/>
          <w:szCs w:val="24"/>
          <w:highlight w:val="none"/>
          <w:lang w:val="en-US" w:eastAsia="zh-CN"/>
        </w:rPr>
        <w:t xml:space="preserve">无。</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lang w:val="en-US"/>
        </w:rPr>
        <w:t xml:space="preserve">4</w:t>
      </w:r>
      <w:r>
        <w:rPr>
          <w:rFonts w:hint="default" w:ascii="Times New Roman" w:hAnsi="Times New Roman" w:eastAsia="宋体" w:cs="Times New Roman"/>
          <w:color w:val="auto"/>
          <w:sz w:val="24"/>
          <w:szCs w:val="24"/>
          <w:highlight w:val="none"/>
        </w:rPr>
        <w:t xml:space="preserve">、拒绝下述供应商参加本次采购活动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三、获取磋商文件</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1、时间：自磋商文件公告发布之日起5个工作日</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、地点：江苏政府采购网“苏采云”系统</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、售价：0.00元</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四、提交响应文件截止时间、磋商时间:</w:t>
      </w:r>
      <w:r/>
    </w:p>
    <w:p>
      <w:pPr>
        <w:ind w:firstLine="42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1、投标文件提交截止时间及开标时间：</w:t>
      </w:r>
      <w:r>
        <w:rPr>
          <w:rFonts w:hint="default" w:ascii="Times New Roman" w:hAnsi="Times New Roman" w:eastAsia="宋体" w:cs="Times New Roman"/>
          <w:color w:val="auto"/>
          <w:sz w:val="24"/>
          <w:szCs w:val="24"/>
          <w:highlight w:val="none"/>
          <w:lang w:eastAsia="zh-CN"/>
        </w:rPr>
        <w:t xml:space="preserve">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 01月13  日09</w:t>
      </w:r>
      <w:r>
        <w:rPr>
          <w:rFonts w:hint="default"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0（北京时间）</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2、地点：江苏政府采购网“苏采云”系统</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五、公告期限</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自本公告发布之日起</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个工作日</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六、其他补充事宜</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t xml:space="preserve">1、采购人不组织集中考察或答疑，供应商如果对采购需求有疑问请咨询采购单位联系人。</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2</w:t>
      </w:r>
      <w:r>
        <w:rPr>
          <w:rFonts w:hint="default" w:ascii="Times New Roman" w:hAnsi="Times New Roman" w:eastAsia="宋体" w:cs="Times New Roman"/>
          <w:color w:val="auto"/>
          <w:sz w:val="24"/>
          <w:szCs w:val="24"/>
          <w:highlight w:val="none"/>
        </w:rPr>
        <w:t xml:space="preserve">、公告媒体</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（1）本招标公告在江苏政府采购网（http://www.ccgp-jiangsu.gov.cn/）和南京公共采购信息网（https：//njgc.jfh.com/）公示发布，敬请各投标人关注；</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（2）有关本次采购存在变动或修改，敬请各投标人及时关注江苏政府采购网（http://www.ccgp-jiangsu.gov.cn/）和南京公共采购信息网（https：//njgc.jfh.com/）发布的关于本项目的信息更正公告；</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t xml:space="preserve">3、 </w:t>
      </w:r>
      <w:r>
        <w:rPr>
          <w:rFonts w:hint="default" w:ascii="Times New Roman" w:hAnsi="Times New Roman" w:eastAsia="宋体" w:cs="Times New Roman"/>
          <w:color w:val="auto"/>
          <w:sz w:val="24"/>
          <w:szCs w:val="24"/>
          <w:highlight w:val="none"/>
          <w:lang w:val="en-US"/>
        </w:rPr>
        <w:t xml:space="preserve">政府采购信用承诺</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default" w:ascii="Times New Roman" w:hAnsi="Times New Roman" w:eastAsia="宋体" w:cs="Times New Roman"/>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供应商涉及以下情形的，不适用信用承诺：</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（1）供应商被列入严重失信主体名单；</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（2）被相关监管部门作出行政处罚且尚在处罚有效期内；</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（3）其他法律、行政法规规定的不适用信用承诺的情形。</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4、本次采购采</w:t>
      </w:r>
      <w:r>
        <w:rPr>
          <w:rFonts w:hint="default" w:ascii="Times New Roman" w:hAnsi="Times New Roman" w:eastAsia="宋体" w:cs="Times New Roman"/>
          <w:color w:val="auto"/>
          <w:sz w:val="24"/>
          <w:szCs w:val="24"/>
          <w:highlight w:val="none"/>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七、对本次招标提出询问，请按以下方式联系。</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1、采购人信息</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名称：南京市江宁区农业农村局</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联系人：</w:t>
      </w:r>
      <w:r>
        <w:rPr>
          <w:rFonts w:hint="eastAsia" w:ascii="Times New Roman" w:hAnsi="Times New Roman" w:cs="Times New Roman"/>
          <w:color w:val="auto"/>
          <w:sz w:val="24"/>
          <w:szCs w:val="24"/>
          <w:highlight w:val="none"/>
          <w:lang w:val="en-US" w:eastAsia="zh-CN"/>
        </w:rPr>
        <w:t xml:space="preserve">/</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lang w:eastAsia="zh-CN"/>
        </w:rPr>
        <w:t xml:space="preserve">地址：</w:t>
      </w:r>
      <w:r>
        <w:rPr>
          <w:rFonts w:hint="eastAsia" w:ascii="Times New Roman" w:hAnsi="Times New Roman" w:cs="Times New Roman"/>
          <w:color w:val="auto"/>
          <w:sz w:val="24"/>
          <w:szCs w:val="24"/>
          <w:highlight w:val="none"/>
          <w:lang w:eastAsia="zh-CN"/>
        </w:rPr>
        <w:t xml:space="preserve"> 南京市江宁区</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2、采购代理机构信息</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名称：</w:t>
      </w:r>
      <w:r>
        <w:rPr>
          <w:rFonts w:hint="eastAsia" w:ascii="Times New Roman" w:hAnsi="Times New Roman" w:cs="Times New Roman"/>
          <w:color w:val="auto"/>
          <w:sz w:val="24"/>
          <w:szCs w:val="24"/>
          <w:highlight w:val="none"/>
          <w:lang w:eastAsia="zh-CN"/>
        </w:rPr>
        <w:t xml:space="preserve">南京逸凡工程管理咨询有限公司</w:t>
      </w:r>
      <w:r/>
    </w:p>
    <w:p>
      <w:pPr>
        <w:ind w:firstLine="482"/>
        <w:keepLines w:val="0"/>
        <w:keepNext w:val="0"/>
        <w:pageBreakBefore w:val="0"/>
        <w:spacing w:line="312" w:lineRule="auto"/>
        <w:widowControl w:val="off"/>
        <w:rPr>
          <w:rFonts w:hint="eastAsia"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地址：</w:t>
      </w:r>
      <w:r>
        <w:rPr>
          <w:rFonts w:hint="eastAsia" w:ascii="Times New Roman" w:hAnsi="Times New Roman" w:cs="Times New Roman"/>
          <w:color w:val="auto"/>
          <w:sz w:val="24"/>
          <w:szCs w:val="24"/>
          <w:highlight w:val="none"/>
          <w:lang w:eastAsia="zh-CN"/>
        </w:rPr>
        <w:t xml:space="preserve"> 南京市江宁区骆村大厦310室</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项目联系人：</w:t>
      </w:r>
      <w:r>
        <w:rPr>
          <w:rFonts w:hint="eastAsia" w:ascii="Times New Roman" w:hAnsi="Times New Roman" w:cs="Times New Roman"/>
          <w:color w:val="auto"/>
          <w:sz w:val="24"/>
          <w:szCs w:val="24"/>
          <w:highlight w:val="none"/>
          <w:lang w:val="en-US" w:eastAsia="zh-CN"/>
        </w:rPr>
        <w:t xml:space="preserve"> 杭</w:t>
      </w:r>
      <w:r>
        <w:rPr>
          <w:rFonts w:hint="default" w:ascii="Times New Roman" w:hAnsi="Times New Roman" w:eastAsia="宋体" w:cs="Times New Roman"/>
          <w:color w:val="auto"/>
          <w:sz w:val="24"/>
          <w:szCs w:val="24"/>
          <w:highlight w:val="none"/>
        </w:rPr>
        <w:t xml:space="preserve">工</w:t>
      </w:r>
      <w:r/>
    </w:p>
    <w:p>
      <w:pPr>
        <w:ind w:firstLine="482"/>
        <w:keepLines w:val="0"/>
        <w:keepNext w:val="0"/>
        <w:pageBreakBefore w:val="0"/>
        <w:spacing w:line="312" w:lineRule="auto"/>
        <w:widowControl w:val="off"/>
        <w:rPr>
          <w:rFonts w:hint="eastAsia" w:ascii="Times New Roman" w:hAnsi="Times New Roman" w:eastAsia="宋体" w:cs="Times New Roman"/>
          <w:color w:val="auto"/>
          <w:sz w:val="24"/>
          <w:szCs w:val="24"/>
          <w:highlight w:val="none"/>
          <w:lang w:val="en-US" w:eastAsia="zh-CN"/>
        </w:rPr>
        <w:outlineLvl w:val="9"/>
      </w:pPr>
      <w:r>
        <w:rPr>
          <w:rFonts w:hint="default" w:ascii="Times New Roman" w:hAnsi="Times New Roman" w:eastAsia="宋体" w:cs="Times New Roman"/>
          <w:color w:val="auto"/>
          <w:sz w:val="24"/>
          <w:szCs w:val="24"/>
          <w:highlight w:val="none"/>
        </w:rPr>
        <w:t xml:space="preserve">联系方式：</w:t>
      </w:r>
      <w:r>
        <w:rPr>
          <w:rFonts w:hint="eastAsia" w:ascii="Times New Roman" w:hAnsi="Times New Roman" w:cs="Times New Roman"/>
          <w:color w:val="auto"/>
          <w:sz w:val="24"/>
          <w:szCs w:val="24"/>
          <w:highlight w:val="none"/>
          <w:lang w:eastAsia="zh-CN"/>
        </w:rPr>
        <w:t xml:space="preserve">025-52131618</w:t>
      </w:r>
      <w:r/>
    </w:p>
    <w:p>
      <w:pPr>
        <w:pStyle w:val="1005"/>
        <w:ind w:left="0" w:firstLine="361"/>
        <w:jc w:val="center"/>
        <w:tabs>
          <w:tab w:val="left" w:pos="435" w:leader="none"/>
        </w:tabs>
        <w:rPr>
          <w:rFonts w:hint="default" w:ascii="Times New Roman" w:hAnsi="Times New Roman" w:eastAsia="宋体" w:cs="Times New Roman"/>
          <w:b/>
          <w:bCs/>
          <w:color w:val="auto"/>
          <w:sz w:val="36"/>
          <w:szCs w:val="36"/>
          <w:highlight w:val="none"/>
        </w:rPr>
        <w:outlineLvl w:val="0"/>
      </w:pPr>
      <w:r/>
      <w:bookmarkStart w:id="13" w:name="_Toc13398"/>
      <w:r/>
      <w:bookmarkStart w:id="14" w:name="_Toc14391_WPSOffice_Level1"/>
      <w:r/>
      <w:bookmarkStart w:id="15" w:name="_Toc5829"/>
      <w:r/>
      <w:r/>
    </w:p>
    <w:p>
      <w:pPr>
        <w:pStyle w:val="1005"/>
        <w:ind w:left="0" w:firstLine="361"/>
        <w:jc w:val="center"/>
        <w:tabs>
          <w:tab w:val="left" w:pos="435" w:leader="none"/>
        </w:tabs>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二</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szCs w:val="36"/>
          <w:highlight w:val="none"/>
        </w:rPr>
        <w:t xml:space="preserve">竞争性磋商须知</w:t>
      </w:r>
      <w:bookmarkEnd w:id="13"/>
      <w:r/>
      <w:bookmarkEnd w:id="14"/>
      <w:r/>
      <w:bookmarkEnd w:id="15"/>
      <w:r/>
      <w:r/>
    </w:p>
    <w:p>
      <w:pPr>
        <w:pStyle w:val="817"/>
        <w:rPr>
          <w:rFonts w:hint="default" w:ascii="Times New Roman" w:hAnsi="Times New Roman" w:eastAsia="宋体" w:cs="Times New Roman"/>
          <w:color w:val="auto"/>
          <w:sz w:val="25"/>
          <w:highlight w:val="none"/>
        </w:rPr>
      </w:pPr>
      <w:r>
        <w:rPr>
          <w:rFonts w:hint="default" w:ascii="Times New Roman" w:hAnsi="Times New Roman" w:eastAsia="宋体" w:cs="Times New Roman"/>
          <w:color w:val="auto"/>
          <w:sz w:val="25"/>
          <w:highlight w:val="none"/>
        </w:rPr>
      </w:r>
      <w:r/>
    </w:p>
    <w:p>
      <w:pPr>
        <w:ind w:left="0" w:right="0" w:firstLine="420"/>
        <w:jc w:val="both"/>
        <w:keepLines w:val="0"/>
        <w:keepNext w:val="0"/>
        <w:pageBreakBefore w:val="0"/>
        <w:spacing w:line="411" w:lineRule="auto"/>
        <w:widowControl w:val="off"/>
        <w:rPr>
          <w:rFonts w:hint="default" w:ascii="Times New Roman" w:hAnsi="Times New Roman" w:eastAsia="宋体" w:cs="Times New Roman"/>
          <w:color w:val="auto"/>
          <w:sz w:val="21"/>
          <w:highlight w:val="none"/>
        </w:rPr>
      </w:pPr>
      <w:r>
        <w:rPr>
          <w:rFonts w:hint="eastAsia" w:ascii="Times New Roman" w:hAnsi="Times New Roman" w:cs="Times New Roman"/>
          <w:b/>
          <w:color w:val="auto"/>
          <w:spacing w:val="-1"/>
          <w:sz w:val="21"/>
          <w:highlight w:val="none"/>
          <w:u w:val="single"/>
          <w:lang w:eastAsia="zh-CN"/>
        </w:rPr>
        <w:t xml:space="preserve">南京逸凡工程管理咨询有限公司</w:t>
      </w:r>
      <w:r>
        <w:rPr>
          <w:rFonts w:hint="default" w:ascii="Times New Roman" w:hAnsi="Times New Roman" w:eastAsia="宋体" w:cs="Times New Roman"/>
          <w:b/>
          <w:color w:val="auto"/>
          <w:spacing w:val="-1"/>
          <w:sz w:val="21"/>
          <w:highlight w:val="none"/>
        </w:rPr>
        <w:t xml:space="preserve"> </w:t>
      </w:r>
      <w:r>
        <w:rPr>
          <w:rFonts w:hint="default" w:ascii="Times New Roman" w:hAnsi="Times New Roman" w:eastAsia="宋体" w:cs="Times New Roman"/>
          <w:color w:val="auto"/>
          <w:spacing w:val="-4"/>
          <w:sz w:val="21"/>
          <w:highlight w:val="none"/>
        </w:rPr>
        <w:t xml:space="preserve">受</w:t>
      </w:r>
      <w:r>
        <w:rPr>
          <w:rFonts w:hint="default" w:ascii="Times New Roman" w:hAnsi="Times New Roman" w:eastAsia="宋体" w:cs="Times New Roman"/>
          <w:b/>
          <w:bCs/>
          <w:color w:val="auto"/>
          <w:spacing w:val="-4"/>
          <w:sz w:val="21"/>
          <w:highlight w:val="none"/>
          <w:u w:val="single"/>
          <w:lang w:eastAsia="zh-CN"/>
        </w:rPr>
        <w:t xml:space="preserve">南京市江宁区农业农村局</w:t>
      </w:r>
      <w:r>
        <w:rPr>
          <w:rFonts w:hint="default" w:ascii="Times New Roman" w:hAnsi="Times New Roman" w:eastAsia="宋体" w:cs="Times New Roman"/>
          <w:b/>
          <w:bCs/>
          <w:color w:val="auto"/>
          <w:sz w:val="21"/>
          <w:highlight w:val="none"/>
        </w:rPr>
        <w:t xml:space="preserve">（</w:t>
      </w:r>
      <w:r>
        <w:rPr>
          <w:rFonts w:hint="default" w:ascii="Times New Roman" w:hAnsi="Times New Roman" w:eastAsia="宋体" w:cs="Times New Roman"/>
          <w:color w:val="auto"/>
          <w:sz w:val="21"/>
          <w:highlight w:val="none"/>
        </w:rPr>
        <w:t xml:space="preserve">采购人</w:t>
      </w:r>
      <w:r>
        <w:rPr>
          <w:rFonts w:hint="default" w:ascii="Times New Roman" w:hAnsi="Times New Roman" w:eastAsia="宋体" w:cs="Times New Roman"/>
          <w:color w:val="auto"/>
          <w:spacing w:val="-20"/>
          <w:sz w:val="21"/>
          <w:highlight w:val="none"/>
        </w:rPr>
        <w:t xml:space="preserve">）</w:t>
      </w:r>
      <w:r>
        <w:rPr>
          <w:rFonts w:hint="default" w:ascii="Times New Roman" w:hAnsi="Times New Roman" w:eastAsia="宋体" w:cs="Times New Roman"/>
          <w:color w:val="auto"/>
          <w:spacing w:val="-14"/>
          <w:sz w:val="21"/>
          <w:highlight w:val="none"/>
        </w:rPr>
        <w:t xml:space="preserve">委托，对其</w:t>
      </w:r>
      <w:r>
        <w:rPr>
          <w:rFonts w:hint="eastAsia" w:ascii="Times New Roman" w:hAnsi="Times New Roman" w:cs="Times New Roman"/>
          <w:b/>
          <w:bCs/>
          <w:color w:val="auto"/>
          <w:spacing w:val="-1"/>
          <w:sz w:val="21"/>
          <w:highlight w:val="none"/>
          <w:u w:val="single"/>
          <w:lang w:eastAsia="zh-CN"/>
        </w:rPr>
        <w:t xml:space="preserve">江宁区松树钻蛀类害虫系统调查项目</w:t>
      </w:r>
      <w:r>
        <w:rPr>
          <w:rFonts w:hint="default" w:ascii="Times New Roman" w:hAnsi="Times New Roman" w:eastAsia="宋体" w:cs="Times New Roman"/>
          <w:color w:val="auto"/>
          <w:sz w:val="21"/>
          <w:highlight w:val="none"/>
        </w:rPr>
        <w:t xml:space="preserve">（项目名称）进行竞争性磋商采购，兹邀请符合条件的供应商参与投标，相关信息如下：</w:t>
      </w:r>
      <w:r/>
    </w:p>
    <w:tbl>
      <w:tblPr>
        <w:tblStyle w:val="81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7"/>
        <w:gridCol w:w="922"/>
        <w:gridCol w:w="1108"/>
        <w:gridCol w:w="1661"/>
        <w:gridCol w:w="4646"/>
      </w:tblGrid>
      <w:tr>
        <w:trPr>
          <w:trHeight w:val="312"/>
        </w:trPr>
        <w:tc>
          <w:tcPr>
            <w:tcW w:w="406" w:type="pct"/>
            <w:textDirection w:val="lrTb"/>
            <w:noWrap w:val="false"/>
          </w:tcPr>
          <w:p>
            <w:pPr>
              <w:pStyle w:val="1013"/>
              <w:ind w:left="128" w:right="119"/>
              <w:jc w:val="center"/>
              <w:spacing w:before="20"/>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gridSpan w:val="2"/>
            <w:tcW w:w="1118" w:type="pct"/>
            <w:textDirection w:val="lrTb"/>
            <w:noWrap w:val="false"/>
          </w:tcPr>
          <w:p>
            <w:pPr>
              <w:pStyle w:val="1013"/>
              <w:ind w:left="9"/>
              <w:jc w:val="center"/>
              <w:spacing w:before="20"/>
              <w:tabs>
                <w:tab w:val="left" w:pos="42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项</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目</w:t>
            </w:r>
            <w:r/>
          </w:p>
        </w:tc>
        <w:tc>
          <w:tcPr>
            <w:gridSpan w:val="2"/>
            <w:tcW w:w="3474" w:type="pct"/>
            <w:textDirection w:val="lrTb"/>
            <w:noWrap w:val="false"/>
          </w:tcPr>
          <w:p>
            <w:pPr>
              <w:pStyle w:val="1013"/>
              <w:ind w:left="10"/>
              <w:jc w:val="center"/>
              <w:spacing w:before="20"/>
              <w:tabs>
                <w:tab w:val="left" w:pos="116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内</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容</w:t>
            </w:r>
            <w:r/>
          </w:p>
        </w:tc>
      </w:tr>
      <w:tr>
        <w:trPr>
          <w:trHeight w:val="311"/>
        </w:trPr>
        <w:tc>
          <w:tcPr>
            <w:tcW w:w="406" w:type="pct"/>
            <w:textDirection w:val="lrTb"/>
            <w:noWrap w:val="false"/>
          </w:tcPr>
          <w:p>
            <w:pPr>
              <w:pStyle w:val="1013"/>
              <w:ind w:left="5"/>
              <w:jc w:val="center"/>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1</w:t>
            </w:r>
            <w:r/>
          </w:p>
        </w:tc>
        <w:tc>
          <w:tcPr>
            <w:gridSpan w:val="2"/>
            <w:tcW w:w="1118" w:type="pct"/>
            <w:textDirection w:val="lrTb"/>
            <w:noWrap w:val="false"/>
          </w:tcPr>
          <w:p>
            <w:pPr>
              <w:pStyle w:val="1013"/>
              <w:ind w:left="569"/>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项目编号</w:t>
            </w:r>
            <w:r/>
          </w:p>
        </w:tc>
        <w:tc>
          <w:tcPr>
            <w:gridSpan w:val="2"/>
            <w:tcW w:w="3474" w:type="pct"/>
            <w:textDirection w:val="lrTb"/>
            <w:noWrap w:val="false"/>
          </w:tcPr>
          <w:p>
            <w:pPr>
              <w:pStyle w:val="1013"/>
              <w:ind w:left="108"/>
              <w:spacing w:before="22"/>
              <w:rPr>
                <w:rFonts w:hint="default" w:ascii="Times New Roman" w:hAnsi="Times New Roman" w:eastAsia="宋体" w:cs="Times New Roman"/>
                <w:color w:val="auto"/>
                <w:sz w:val="21"/>
                <w:highlight w:val="none"/>
                <w:lang w:eastAsia="zh-CN"/>
              </w:rPr>
            </w:pPr>
            <w:r>
              <w:rPr>
                <w:rFonts w:ascii="Segoe UI" w:hAnsi="Segoe UI" w:eastAsia="Segoe UI" w:cs="Segoe UI"/>
                <w:i w:val="0"/>
                <w:iCs w:val="0"/>
                <w:caps w:val="0"/>
                <w:spacing w:val="0"/>
                <w:sz w:val="21"/>
                <w:szCs w:val="21"/>
                <w:highlight w:val="none"/>
                <w:shd w:val="clear" w:color="auto" w:fill="ffffff"/>
              </w:rPr>
              <w:t xml:space="preserve">JSZC-320115-YFZX-C2025-0003</w:t>
            </w:r>
            <w:r/>
          </w:p>
        </w:tc>
      </w:tr>
      <w:tr>
        <w:trPr>
          <w:trHeight w:val="340"/>
        </w:trPr>
        <w:tc>
          <w:tcPr>
            <w:tcW w:w="406" w:type="pct"/>
            <w:textDirection w:val="lrTb"/>
            <w:noWrap w:val="false"/>
          </w:tcPr>
          <w:p>
            <w:pPr>
              <w:pStyle w:val="1013"/>
              <w:ind w:left="5"/>
              <w:jc w:val="center"/>
              <w:spacing w:before="36"/>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p>
        </w:tc>
        <w:tc>
          <w:tcPr>
            <w:gridSpan w:val="2"/>
            <w:tcW w:w="1118" w:type="pct"/>
            <w:textDirection w:val="lrTb"/>
            <w:noWrap w:val="false"/>
          </w:tcPr>
          <w:p>
            <w:pPr>
              <w:pStyle w:val="1013"/>
              <w:ind w:left="569"/>
              <w:spacing w:before="36"/>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项目名称</w:t>
            </w:r>
            <w:r/>
          </w:p>
        </w:tc>
        <w:tc>
          <w:tcPr>
            <w:gridSpan w:val="2"/>
            <w:tcW w:w="3474" w:type="pct"/>
            <w:textDirection w:val="lrTb"/>
            <w:noWrap w:val="false"/>
          </w:tcPr>
          <w:p>
            <w:pPr>
              <w:pStyle w:val="1013"/>
              <w:ind w:left="108"/>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江宁区松树钻蛀类害虫系统调查项目</w:t>
            </w:r>
            <w:r/>
          </w:p>
        </w:tc>
      </w:tr>
      <w:tr>
        <w:trPr>
          <w:trHeight w:val="312"/>
        </w:trPr>
        <w:tc>
          <w:tcPr>
            <w:tcW w:w="406" w:type="pct"/>
            <w:textDirection w:val="lrTb"/>
            <w:noWrap w:val="false"/>
          </w:tcPr>
          <w:p>
            <w:pPr>
              <w:pStyle w:val="1013"/>
              <w:ind w:left="5"/>
              <w:jc w:val="center"/>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3</w:t>
            </w:r>
            <w:r/>
          </w:p>
        </w:tc>
        <w:tc>
          <w:tcPr>
            <w:gridSpan w:val="2"/>
            <w:tcW w:w="1118" w:type="pct"/>
            <w:textDirection w:val="lrTb"/>
            <w:noWrap w:val="false"/>
          </w:tcPr>
          <w:p>
            <w:pPr>
              <w:pStyle w:val="1013"/>
              <w:ind w:left="360"/>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采购代理机构</w:t>
            </w:r>
            <w:r/>
          </w:p>
        </w:tc>
        <w:tc>
          <w:tcPr>
            <w:gridSpan w:val="2"/>
            <w:tcW w:w="3474" w:type="pct"/>
            <w:textDirection w:val="lrTb"/>
            <w:noWrap w:val="false"/>
          </w:tcPr>
          <w:p>
            <w:pPr>
              <w:pStyle w:val="1013"/>
              <w:ind w:left="108"/>
              <w:spacing w:before="33"/>
              <w:rPr>
                <w:rFonts w:hint="default"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eastAsia="zh-CN"/>
              </w:rPr>
              <w:t xml:space="preserve"> 南京逸凡工程管理咨询有限公司</w:t>
            </w:r>
            <w:r/>
          </w:p>
        </w:tc>
      </w:tr>
      <w:tr>
        <w:trPr>
          <w:trHeight w:val="350"/>
        </w:trPr>
        <w:tc>
          <w:tcPr>
            <w:tcW w:w="406" w:type="pct"/>
            <w:textDirection w:val="lrTb"/>
            <w:noWrap w:val="false"/>
          </w:tcPr>
          <w:p>
            <w:pPr>
              <w:pStyle w:val="1013"/>
              <w:ind w:left="5"/>
              <w:jc w:val="center"/>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4</w:t>
            </w:r>
            <w:r/>
          </w:p>
        </w:tc>
        <w:tc>
          <w:tcPr>
            <w:gridSpan w:val="2"/>
            <w:tcW w:w="1118" w:type="pct"/>
            <w:textDirection w:val="lrTb"/>
            <w:noWrap w:val="false"/>
          </w:tcPr>
          <w:p>
            <w:pPr>
              <w:pStyle w:val="1013"/>
              <w:ind w:left="360"/>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代理机构地址</w:t>
            </w:r>
            <w:r/>
          </w:p>
        </w:tc>
        <w:tc>
          <w:tcPr>
            <w:gridSpan w:val="2"/>
            <w:tcW w:w="3474" w:type="pct"/>
            <w:textDirection w:val="lrTb"/>
            <w:noWrap w:val="false"/>
          </w:tcPr>
          <w:p>
            <w:pPr>
              <w:pStyle w:val="1013"/>
              <w:ind w:left="108"/>
              <w:spacing w:before="33"/>
              <w:rPr>
                <w:rFonts w:hint="eastAsia"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eastAsia="zh-CN"/>
              </w:rPr>
              <w:t xml:space="preserve"> 南京市江宁区骆村大厦310室</w:t>
            </w:r>
            <w:r/>
          </w:p>
        </w:tc>
      </w:tr>
      <w:tr>
        <w:trPr>
          <w:trHeight w:val="640"/>
        </w:trPr>
        <w:tc>
          <w:tcPr>
            <w:tcW w:w="406" w:type="pct"/>
            <w:textDirection w:val="lrTb"/>
            <w:noWrap w:val="false"/>
          </w:tcPr>
          <w:p>
            <w:pPr>
              <w:pStyle w:val="1013"/>
              <w:jc w:val="center"/>
              <w:spacing w:before="1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5</w:t>
            </w:r>
            <w:r/>
          </w:p>
        </w:tc>
        <w:tc>
          <w:tcPr>
            <w:gridSpan w:val="2"/>
            <w:tcW w:w="1118" w:type="pct"/>
            <w:textDirection w:val="lrTb"/>
            <w:noWrap w:val="false"/>
          </w:tcPr>
          <w:p>
            <w:pPr>
              <w:pStyle w:val="1013"/>
              <w:jc w:val="center"/>
              <w:spacing w:before="1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磋商文件获取方法</w:t>
            </w:r>
            <w:r/>
          </w:p>
        </w:tc>
        <w:tc>
          <w:tcPr>
            <w:gridSpan w:val="2"/>
            <w:tcW w:w="3474" w:type="pct"/>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时间：自磋商文件公告发布之日起5个工作日</w:t>
            </w:r>
            <w:r/>
          </w:p>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地点：江苏政府采购网“苏采云”系统</w:t>
            </w:r>
            <w:r/>
          </w:p>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售价：0.00元</w:t>
            </w:r>
            <w:r/>
          </w:p>
        </w:tc>
      </w:tr>
      <w:tr>
        <w:trPr>
          <w:trHeight w:val="336"/>
        </w:trPr>
        <w:tc>
          <w:tcPr>
            <w:tcW w:w="406" w:type="pct"/>
            <w:textDirection w:val="lrTb"/>
            <w:noWrap w:val="false"/>
          </w:tcPr>
          <w:p>
            <w:pPr>
              <w:pStyle w:val="1013"/>
              <w:jc w:val="center"/>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6</w:t>
            </w:r>
            <w:r/>
          </w:p>
        </w:tc>
        <w:tc>
          <w:tcPr>
            <w:gridSpan w:val="2"/>
            <w:tcW w:w="1118" w:type="pct"/>
            <w:textDirection w:val="lrTb"/>
            <w:noWrap w:val="false"/>
          </w:tcPr>
          <w:p>
            <w:pPr>
              <w:pStyle w:val="1013"/>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项目最高限价</w:t>
            </w:r>
            <w:r/>
          </w:p>
        </w:tc>
        <w:tc>
          <w:tcPr>
            <w:gridSpan w:val="2"/>
            <w:tcW w:w="3474" w:type="pct"/>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eastAsia="zh-CN"/>
              </w:rPr>
              <w:t xml:space="preserve">人民币</w:t>
            </w:r>
            <w:r>
              <w:rPr>
                <w:rFonts w:hint="eastAsia" w:ascii="Times New Roman" w:hAnsi="Times New Roman" w:cs="Times New Roman"/>
                <w:color w:val="auto"/>
                <w:sz w:val="21"/>
                <w:highlight w:val="none"/>
                <w:lang w:val="en-US" w:eastAsia="zh-CN"/>
              </w:rPr>
              <w:t xml:space="preserve">59.90</w:t>
            </w:r>
            <w:r>
              <w:rPr>
                <w:rFonts w:hint="eastAsia" w:ascii="Times New Roman" w:hAnsi="Times New Roman" w:eastAsia="宋体" w:cs="Times New Roman"/>
                <w:color w:val="auto"/>
                <w:sz w:val="21"/>
                <w:highlight w:val="none"/>
                <w:lang w:eastAsia="zh-CN"/>
              </w:rPr>
              <w:t xml:space="preserve">万元</w:t>
            </w:r>
            <w:r>
              <w:rPr>
                <w:rFonts w:hint="default" w:ascii="Times New Roman" w:hAnsi="Times New Roman" w:eastAsia="宋体" w:cs="Times New Roman"/>
                <w:color w:val="auto"/>
                <w:sz w:val="21"/>
                <w:highlight w:val="none"/>
                <w:lang w:eastAsia="zh-CN"/>
              </w:rPr>
              <w:t xml:space="preserve">，</w:t>
            </w:r>
            <w:r>
              <w:rPr>
                <w:rFonts w:hint="default" w:ascii="Times New Roman" w:hAnsi="Times New Roman" w:eastAsia="宋体" w:cs="Times New Roman"/>
                <w:color w:val="auto"/>
                <w:sz w:val="21"/>
                <w:highlight w:val="none"/>
              </w:rPr>
              <w:t xml:space="preserve">投标报价超出招标控制价的按无效</w:t>
            </w:r>
            <w:r>
              <w:rPr>
                <w:rFonts w:hint="default" w:ascii="Times New Roman" w:hAnsi="Times New Roman" w:eastAsia="宋体" w:cs="Times New Roman"/>
                <w:color w:val="auto"/>
                <w:sz w:val="21"/>
                <w:highlight w:val="none"/>
                <w:lang w:eastAsia="zh-CN"/>
              </w:rPr>
              <w:t xml:space="preserve">投</w:t>
            </w:r>
            <w:r>
              <w:rPr>
                <w:rFonts w:hint="default" w:ascii="Times New Roman" w:hAnsi="Times New Roman" w:eastAsia="宋体" w:cs="Times New Roman"/>
                <w:color w:val="auto"/>
                <w:sz w:val="21"/>
                <w:highlight w:val="none"/>
              </w:rPr>
              <w:t xml:space="preserve">标处理</w:t>
            </w:r>
            <w:r>
              <w:rPr>
                <w:rFonts w:hint="default" w:ascii="Times New Roman" w:hAnsi="Times New Roman" w:eastAsia="宋体" w:cs="Times New Roman"/>
                <w:color w:val="auto"/>
                <w:sz w:val="21"/>
                <w:highlight w:val="none"/>
                <w:lang w:val="en-US"/>
              </w:rPr>
              <w:t xml:space="preserve">。</w:t>
            </w:r>
            <w:r/>
          </w:p>
        </w:tc>
      </w:tr>
      <w:tr>
        <w:trPr>
          <w:trHeight w:val="336"/>
        </w:trPr>
        <w:tc>
          <w:tcPr>
            <w:tcW w:w="406" w:type="pct"/>
            <w:textDirection w:val="lrTb"/>
            <w:noWrap w:val="false"/>
          </w:tcPr>
          <w:p>
            <w:pPr>
              <w:pStyle w:val="1013"/>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7</w:t>
            </w:r>
            <w:r/>
          </w:p>
        </w:tc>
        <w:tc>
          <w:tcPr>
            <w:gridSpan w:val="2"/>
            <w:tcW w:w="1118" w:type="pct"/>
            <w:textDirection w:val="lrTb"/>
            <w:noWrap w:val="false"/>
          </w:tcPr>
          <w:p>
            <w:pPr>
              <w:pStyle w:val="1013"/>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eastAsia="zh-CN"/>
              </w:rPr>
              <w:t xml:space="preserve">服务</w:t>
            </w:r>
            <w:r>
              <w:rPr>
                <w:rFonts w:hint="default" w:ascii="Times New Roman" w:hAnsi="Times New Roman" w:eastAsia="宋体" w:cs="Times New Roman"/>
                <w:color w:val="auto"/>
                <w:sz w:val="21"/>
                <w:highlight w:val="none"/>
                <w:lang w:val="en-US"/>
              </w:rPr>
              <w:t xml:space="preserve">期限</w:t>
            </w:r>
            <w:r/>
          </w:p>
        </w:tc>
        <w:tc>
          <w:tcPr>
            <w:gridSpan w:val="2"/>
            <w:tcW w:w="3474" w:type="pct"/>
            <w:textDirection w:val="lrTb"/>
            <w:noWrap w:val="false"/>
          </w:tcPr>
          <w:p>
            <w:pPr>
              <w:pStyle w:val="1013"/>
              <w:ind w:left="108"/>
              <w:spacing w:before="33"/>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1年，2025年12月至2026年11月</w:t>
            </w:r>
            <w:r/>
          </w:p>
        </w:tc>
      </w:tr>
      <w:tr>
        <w:trPr>
          <w:trHeight w:val="317"/>
        </w:trPr>
        <w:tc>
          <w:tcPr>
            <w:tcW w:w="406" w:type="pct"/>
            <w:textDirection w:val="lrTb"/>
            <w:noWrap w:val="false"/>
          </w:tcPr>
          <w:p>
            <w:pPr>
              <w:pStyle w:val="1013"/>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8</w:t>
            </w:r>
            <w:r/>
          </w:p>
        </w:tc>
        <w:tc>
          <w:tcPr>
            <w:gridSpan w:val="2"/>
            <w:tcW w:w="1118" w:type="pct"/>
            <w:textDirection w:val="lrTb"/>
            <w:noWrap w:val="false"/>
          </w:tcPr>
          <w:p>
            <w:pPr>
              <w:pStyle w:val="1013"/>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磋商有效期</w:t>
            </w:r>
            <w:r/>
          </w:p>
        </w:tc>
        <w:tc>
          <w:tcPr>
            <w:gridSpan w:val="2"/>
            <w:tcW w:w="3474" w:type="pct"/>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磋商之日起60天</w:t>
            </w:r>
            <w:r/>
          </w:p>
        </w:tc>
      </w:tr>
      <w:tr>
        <w:trPr>
          <w:trHeight w:val="90"/>
        </w:trPr>
        <w:tc>
          <w:tcPr>
            <w:tcW w:w="406" w:type="pct"/>
            <w:vAlign w:val="center"/>
            <w:vMerge w:val="restart"/>
            <w:textDirection w:val="lrTb"/>
            <w:noWrap w:val="false"/>
          </w:tcPr>
          <w:p>
            <w:pPr>
              <w:pStyle w:val="1013"/>
              <w:ind w:left="128" w:right="118"/>
              <w:jc w:val="center"/>
              <w:spacing w:before="176"/>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9</w:t>
            </w:r>
            <w:r/>
          </w:p>
        </w:tc>
        <w:tc>
          <w:tcPr>
            <w:tcW w:w="508" w:type="pct"/>
            <w:vMerge w:val="restart"/>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13"/>
              <w:spacing w:before="7"/>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p>
            <w:pPr>
              <w:pStyle w:val="1013"/>
              <w:ind w:left="240" w:right="229"/>
              <w:spacing w:line="278" w:lineRule="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磋商报名</w:t>
            </w:r>
            <w:r/>
          </w:p>
        </w:tc>
        <w:tc>
          <w:tcPr>
            <w:tcW w:w="610" w:type="pct"/>
            <w:textDirection w:val="lrTb"/>
            <w:noWrap w:val="false"/>
          </w:tcPr>
          <w:p>
            <w:pPr>
              <w:pStyle w:val="1013"/>
              <w:ind w:left="96" w:right="90"/>
              <w:jc w:val="center"/>
              <w:spacing w:before="177"/>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时间</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自磋商文件公告发布之日起5个工作日</w:t>
            </w:r>
            <w:r/>
          </w:p>
        </w:tc>
      </w:tr>
      <w:tr>
        <w:trPr>
          <w:trHeight w:val="377"/>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textDirection w:val="lrTb"/>
            <w:noWrap w:val="false"/>
          </w:tcPr>
          <w:p>
            <w:pPr>
              <w:pStyle w:val="1013"/>
              <w:ind w:left="96" w:right="90"/>
              <w:jc w:val="center"/>
              <w:spacing w:before="54"/>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地点</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江苏政府采购网“苏采云”系统</w:t>
            </w:r>
            <w:r/>
          </w:p>
        </w:tc>
      </w:tr>
      <w:tr>
        <w:trPr>
          <w:trHeight w:val="623"/>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shd w:val="clear" w:color="auto" w:fill="auto"/>
            <w:tcW w:w="610" w:type="pct"/>
            <w:textDirection w:val="lrTb"/>
            <w:noWrap w:val="false"/>
          </w:tcPr>
          <w:p>
            <w:pPr>
              <w:pStyle w:val="1013"/>
              <w:ind w:left="96" w:right="90"/>
              <w:jc w:val="center"/>
              <w:spacing w:before="178"/>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方式</w:t>
            </w:r>
            <w:r/>
          </w:p>
        </w:tc>
        <w:tc>
          <w:tcPr>
            <w:gridSpan w:val="2"/>
            <w:shd w:val="clear" w:color="auto" w:fill="auto"/>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518"/>
        </w:trPr>
        <w:tc>
          <w:tcPr>
            <w:tcW w:w="406" w:type="pct"/>
            <w:vAlign w:val="center"/>
            <w:vMerge w:val="restart"/>
            <w:textDirection w:val="lrTb"/>
            <w:noWrap w:val="false"/>
          </w:tcPr>
          <w:p>
            <w:pPr>
              <w:pStyle w:val="1013"/>
              <w:ind w:left="128" w:right="118"/>
              <w:jc w:val="center"/>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10</w:t>
            </w:r>
            <w:r/>
          </w:p>
        </w:tc>
        <w:tc>
          <w:tcPr>
            <w:tcW w:w="508" w:type="pct"/>
            <w:vAlign w:val="center"/>
            <w:vMerge w:val="restart"/>
            <w:textDirection w:val="lrTb"/>
            <w:noWrap w:val="false"/>
          </w:tcPr>
          <w:p>
            <w:pPr>
              <w:pStyle w:val="1013"/>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响应性文件递</w:t>
            </w:r>
            <w:r/>
          </w:p>
          <w:p>
            <w:pPr>
              <w:pStyle w:val="1013"/>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交信息</w:t>
            </w:r>
            <w:r/>
          </w:p>
        </w:tc>
        <w:tc>
          <w:tcPr>
            <w:tcW w:w="610" w:type="pct"/>
            <w:vAlign w:val="center"/>
            <w:textDirection w:val="lrTb"/>
            <w:noWrap w:val="false"/>
          </w:tcPr>
          <w:p>
            <w:pPr>
              <w:pStyle w:val="1013"/>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时间</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4"/>
                <w:szCs w:val="24"/>
                <w:highlight w:val="none"/>
                <w:lang w:eastAsia="zh-CN"/>
              </w:rPr>
              <w:t xml:space="preserve">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 01月13  日09</w:t>
            </w:r>
            <w:r>
              <w:rPr>
                <w:rFonts w:hint="default"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0（北京时间）</w:t>
            </w:r>
            <w:r/>
          </w:p>
        </w:tc>
      </w:tr>
      <w:tr>
        <w:trPr>
          <w:trHeight w:val="686"/>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pStyle w:val="1013"/>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r>
            <w:r/>
          </w:p>
        </w:tc>
        <w:tc>
          <w:tcPr>
            <w:tcW w:w="610" w:type="pct"/>
            <w:vAlign w:val="center"/>
            <w:textDirection w:val="lrTb"/>
            <w:noWrap w:val="false"/>
          </w:tcPr>
          <w:p>
            <w:pPr>
              <w:pStyle w:val="1013"/>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地点</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江苏政府采购网“苏采云”系统</w:t>
            </w:r>
            <w:r/>
          </w:p>
        </w:tc>
      </w:tr>
      <w:tr>
        <w:trPr>
          <w:trHeight w:val="424"/>
        </w:trPr>
        <w:tc>
          <w:tcPr>
            <w:tcW w:w="406" w:type="pct"/>
            <w:textDirection w:val="lrTb"/>
            <w:noWrap w:val="false"/>
          </w:tcPr>
          <w:p>
            <w:pPr>
              <w:pStyle w:val="1013"/>
              <w:ind w:left="128" w:right="118"/>
              <w:jc w:val="center"/>
              <w:spacing w:before="74"/>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11</w:t>
            </w:r>
            <w:r/>
          </w:p>
        </w:tc>
        <w:tc>
          <w:tcPr>
            <w:gridSpan w:val="2"/>
            <w:tcW w:w="1118" w:type="pct"/>
            <w:textDirection w:val="lrTb"/>
            <w:noWrap w:val="false"/>
          </w:tcPr>
          <w:p>
            <w:pPr>
              <w:pStyle w:val="1013"/>
              <w:ind w:left="255"/>
              <w:spacing w:before="74"/>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响应性文件份数</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电子投标文件一份，如项目需要，中标人须配合采购人提供相应份数的纸质投标文件。</w:t>
            </w:r>
            <w:r/>
          </w:p>
        </w:tc>
      </w:tr>
      <w:tr>
        <w:trPr>
          <w:trHeight w:val="312"/>
        </w:trPr>
        <w:tc>
          <w:tcPr>
            <w:tcW w:w="406" w:type="pct"/>
            <w:vAlign w:val="center"/>
            <w:vMerge w:val="restart"/>
            <w:textDirection w:val="lrTb"/>
            <w:noWrap w:val="false"/>
          </w:tcPr>
          <w:p>
            <w:pPr>
              <w:pStyle w:val="1013"/>
              <w:ind w:left="128" w:right="118"/>
              <w:jc w:val="center"/>
              <w:spacing w:before="1"/>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12</w:t>
            </w:r>
            <w:r/>
          </w:p>
        </w:tc>
        <w:tc>
          <w:tcPr>
            <w:tcW w:w="508" w:type="pct"/>
            <w:vMerge w:val="restart"/>
            <w:textDirection w:val="lrTb"/>
            <w:noWrap w:val="false"/>
          </w:tcPr>
          <w:p>
            <w:pPr>
              <w:pStyle w:val="1013"/>
              <w:ind w:left="240" w:right="229"/>
              <w:spacing w:before="4" w:line="310" w:lineRule="atLeast"/>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磋商信息</w:t>
            </w:r>
            <w:r/>
          </w:p>
        </w:tc>
        <w:tc>
          <w:tcPr>
            <w:tcW w:w="610" w:type="pct"/>
            <w:vAlign w:val="center"/>
            <w:textDirection w:val="lrTb"/>
            <w:noWrap w:val="false"/>
          </w:tcPr>
          <w:p>
            <w:pPr>
              <w:pStyle w:val="1013"/>
              <w:ind w:left="96" w:right="90"/>
              <w:jc w:val="center"/>
              <w:spacing w:before="2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截至时间</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4"/>
                <w:szCs w:val="24"/>
                <w:highlight w:val="none"/>
                <w:lang w:eastAsia="zh-CN"/>
              </w:rPr>
              <w:t xml:space="preserve">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 01月13  日09</w:t>
            </w:r>
            <w:r>
              <w:rPr>
                <w:rFonts w:hint="default"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0（北京时间）</w:t>
            </w:r>
            <w:r/>
          </w:p>
        </w:tc>
      </w:tr>
      <w:tr>
        <w:trPr>
          <w:trHeight w:val="347"/>
        </w:trPr>
        <w:tc>
          <w:tcPr>
            <w:tcBorders>
              <w:top w:val="none" w:color="000000" w:sz="4" w:space="0"/>
            </w:tcBorders>
            <w:tcW w:w="406" w:type="pct"/>
            <w:vMerge w:val="continue"/>
            <w:textDirection w:val="lrTb"/>
            <w:noWrap w:val="false"/>
          </w:tcPr>
          <w:p>
            <w:pPr>
              <w:pStyle w:val="1013"/>
              <w:ind w:left="128" w:right="118"/>
              <w:jc w:val="center"/>
              <w:spacing w:before="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vAlign w:val="center"/>
            <w:textDirection w:val="lrTb"/>
            <w:noWrap w:val="false"/>
          </w:tcPr>
          <w:p>
            <w:pPr>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Cs w:val="21"/>
                <w:highlight w:val="none"/>
              </w:rPr>
              <w:t xml:space="preserve">地点</w:t>
            </w:r>
            <w:r/>
          </w:p>
        </w:tc>
        <w:tc>
          <w:tcPr>
            <w:gridSpan w:val="2"/>
            <w:tcW w:w="3474" w:type="pct"/>
            <w:vAlign w:val="center"/>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江苏省政府采购交易系统（以下简称“苏采云系统”）网上开标大厅</w:t>
            </w:r>
            <w:r/>
          </w:p>
        </w:tc>
      </w:tr>
      <w:tr>
        <w:trPr>
          <w:trHeight w:val="312"/>
        </w:trPr>
        <w:tc>
          <w:tcPr>
            <w:tcW w:w="406" w:type="pct"/>
            <w:vAlign w:val="center"/>
            <w:vMerge w:val="restart"/>
            <w:textDirection w:val="lrTb"/>
            <w:noWrap w:val="false"/>
          </w:tcPr>
          <w:p>
            <w:pPr>
              <w:pStyle w:val="1013"/>
              <w:ind w:left="128" w:right="118"/>
              <w:jc w:val="center"/>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13</w:t>
            </w:r>
            <w:r/>
          </w:p>
        </w:tc>
        <w:tc>
          <w:tcPr>
            <w:tcW w:w="508" w:type="pct"/>
            <w:vMerge w:val="restart"/>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13"/>
              <w:spacing w:before="2"/>
              <w:rPr>
                <w:rFonts w:hint="default"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r>
            <w:r/>
          </w:p>
          <w:p>
            <w:pPr>
              <w:pStyle w:val="1013"/>
              <w:ind w:left="240" w:right="229"/>
              <w:spacing w:line="391" w:lineRule="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联系事项</w:t>
            </w:r>
            <w:r/>
          </w:p>
        </w:tc>
        <w:tc>
          <w:tcPr>
            <w:tcW w:w="610" w:type="pct"/>
            <w:vMerge w:val="restart"/>
            <w:textDirection w:val="lrTb"/>
            <w:noWrap w:val="false"/>
          </w:tcPr>
          <w:p>
            <w:pPr>
              <w:pStyle w:val="1013"/>
              <w:spacing w:before="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13"/>
              <w:ind w:left="10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采购单位</w:t>
            </w:r>
            <w:r/>
          </w:p>
        </w:tc>
        <w:tc>
          <w:tcPr>
            <w:tcW w:w="915" w:type="pct"/>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联系人</w:t>
            </w:r>
            <w:r/>
          </w:p>
        </w:tc>
        <w:tc>
          <w:tcPr>
            <w:tcW w:w="2559" w:type="pct"/>
            <w:textDirection w:val="lrTb"/>
            <w:noWrap w:val="false"/>
          </w:tcPr>
          <w:p>
            <w:pPr>
              <w:pStyle w:val="1013"/>
              <w:ind w:left="108"/>
              <w:spacing w:before="33"/>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宗工</w:t>
            </w:r>
            <w:r/>
          </w:p>
        </w:tc>
      </w:tr>
      <w:tr>
        <w:trPr>
          <w:trHeight w:val="362"/>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610"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15" w:type="pct"/>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联系电话</w:t>
            </w:r>
            <w:r/>
          </w:p>
        </w:tc>
        <w:tc>
          <w:tcPr>
            <w:tcW w:w="2559" w:type="pct"/>
            <w:textDirection w:val="lrTb"/>
            <w:noWrap w:val="false"/>
          </w:tcPr>
          <w:p>
            <w:pPr>
              <w:pStyle w:val="1013"/>
              <w:ind w:left="108"/>
              <w:spacing w:before="33"/>
              <w:rPr>
                <w:rFonts w:hint="default"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val="en-US" w:eastAsia="zh-CN"/>
              </w:rPr>
              <w:t xml:space="preserve">/</w:t>
            </w:r>
            <w:r/>
          </w:p>
        </w:tc>
      </w:tr>
      <w:tr>
        <w:trPr>
          <w:trHeight w:val="362"/>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vMerge w:val="restart"/>
            <w:textDirection w:val="lrTb"/>
            <w:noWrap w:val="false"/>
          </w:tcPr>
          <w:p>
            <w:pPr>
              <w:pStyle w:val="1013"/>
              <w:ind w:left="99" w:right="90"/>
              <w:jc w:val="center"/>
              <w:spacing w:before="14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采购代理</w:t>
            </w:r>
            <w:r/>
          </w:p>
          <w:p>
            <w:pPr>
              <w:pStyle w:val="1013"/>
              <w:ind w:left="96" w:right="90"/>
              <w:jc w:val="center"/>
              <w:spacing w:before="17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机构</w:t>
            </w:r>
            <w:r/>
          </w:p>
        </w:tc>
        <w:tc>
          <w:tcPr>
            <w:tcW w:w="915" w:type="pct"/>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联系人</w:t>
            </w:r>
            <w:r/>
          </w:p>
        </w:tc>
        <w:tc>
          <w:tcPr>
            <w:tcW w:w="2559" w:type="pct"/>
            <w:textDirection w:val="lrTb"/>
            <w:noWrap w:val="false"/>
          </w:tcPr>
          <w:p>
            <w:pPr>
              <w:pStyle w:val="1013"/>
              <w:ind w:left="108"/>
              <w:spacing w:before="33"/>
              <w:rPr>
                <w:rFonts w:hint="default" w:ascii="Times New Roman" w:hAnsi="Times New Roman" w:eastAsia="宋体" w:cs="Times New Roman"/>
                <w:color w:val="auto"/>
                <w:sz w:val="21"/>
                <w:highlight w:val="none"/>
                <w:lang w:val="en-US"/>
              </w:rPr>
            </w:pPr>
            <w:r>
              <w:rPr>
                <w:rFonts w:hint="eastAsia" w:ascii="Times New Roman" w:hAnsi="Times New Roman" w:cs="Times New Roman"/>
                <w:color w:val="auto"/>
                <w:sz w:val="21"/>
                <w:highlight w:val="none"/>
                <w:lang w:val="en-US" w:eastAsia="zh-CN"/>
              </w:rPr>
              <w:t xml:space="preserve">杭工</w:t>
            </w:r>
            <w:r/>
          </w:p>
        </w:tc>
      </w:tr>
      <w:tr>
        <w:trPr>
          <w:trHeight w:val="507"/>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610"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15" w:type="pct"/>
            <w:textDirection w:val="lrTb"/>
            <w:noWrap w:val="false"/>
          </w:tcPr>
          <w:p>
            <w:pPr>
              <w:pStyle w:val="1013"/>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联系电话</w:t>
            </w:r>
            <w:r/>
          </w:p>
        </w:tc>
        <w:tc>
          <w:tcPr>
            <w:tcW w:w="2559" w:type="pct"/>
            <w:textDirection w:val="lrTb"/>
            <w:noWrap w:val="false"/>
          </w:tcPr>
          <w:p>
            <w:pPr>
              <w:pStyle w:val="1013"/>
              <w:ind w:left="108"/>
              <w:spacing w:before="33"/>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 xml:space="preserve">025-52131618</w:t>
            </w:r>
            <w:r/>
          </w:p>
        </w:tc>
      </w:tr>
    </w:tbl>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6" w:name="_bookmark2"/>
      <w:r/>
      <w:bookmarkEnd w:id="16"/>
      <w:r/>
      <w:bookmarkStart w:id="17" w:name="一、总则"/>
      <w:r/>
      <w:bookmarkEnd w:id="17"/>
      <w:r/>
      <w:bookmarkStart w:id="18" w:name="_Toc25026"/>
      <w:r/>
      <w:bookmarkStart w:id="19" w:name="_Toc24663"/>
      <w:r/>
      <w:bookmarkStart w:id="20" w:name="_Toc20818"/>
      <w:r>
        <w:rPr>
          <w:rFonts w:hint="default" w:ascii="Times New Roman" w:hAnsi="Times New Roman" w:eastAsia="宋体" w:cs="Times New Roman"/>
          <w:b/>
          <w:bCs/>
          <w:color w:val="auto"/>
          <w:szCs w:val="21"/>
          <w:highlight w:val="none"/>
          <w:lang w:val="zh-CN"/>
        </w:rPr>
        <w:t xml:space="preserve">一、总则</w:t>
      </w:r>
      <w:bookmarkEnd w:id="18"/>
      <w:r/>
      <w:bookmarkEnd w:id="19"/>
      <w:r/>
      <w:bookmarkEnd w:id="20"/>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1.适用法律</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2、定义</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2.1“</w:t>
      </w:r>
      <w:r>
        <w:rPr>
          <w:rFonts w:hint="default" w:ascii="Times New Roman" w:hAnsi="Times New Roman" w:eastAsia="宋体" w:cs="Times New Roman"/>
          <w:b/>
          <w:color w:val="auto"/>
          <w:szCs w:val="21"/>
          <w:highlight w:val="none"/>
          <w:lang w:val="zh-CN"/>
        </w:rPr>
        <w:t xml:space="preserve">供应商</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highlight w:val="none"/>
        </w:rPr>
        <w:t xml:space="preserve">是指参加磋商竞争，并符合采购文件规定资格条件的法人、其他组织或者自然人。</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lang w:val="zh-CN"/>
        </w:rPr>
        <w:t xml:space="preserve">2.2“货物和服务”指本磋商文件中所述产品及相关服务。</w:t>
      </w:r>
      <w:r>
        <w:rPr>
          <w:rFonts w:hint="default" w:ascii="Times New Roman" w:hAnsi="Times New Roman" w:eastAsia="宋体" w:cs="Times New Roman"/>
          <w:b/>
          <w:color w:val="auto"/>
          <w:szCs w:val="21"/>
          <w:highlight w:val="none"/>
          <w:lang w:val="zh-CN"/>
        </w:rPr>
        <w:t xml:space="preserve">本次采购不接受进口产品投标</w:t>
      </w:r>
      <w:r>
        <w:rPr>
          <w:rFonts w:hint="default" w:ascii="Times New Roman" w:hAnsi="Times New Roman" w:eastAsia="宋体" w:cs="Times New Roman"/>
          <w:color w:val="auto"/>
          <w:szCs w:val="21"/>
          <w:highlight w:val="none"/>
          <w:lang w:val="zh-CN"/>
        </w:rPr>
        <w:t xml:space="preserve">，进口产品是指通过中国海关报关验放进入中国境内且产自关境外的产品。</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2.3“采购人或使用单位”是指使用服务的单位。</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3．政策功能</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（2）在工程采购项目中，工程由中小企业承建，即工程施工单位为中小企业；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4.参与竞争性磋商供应商资格条件</w:t>
      </w:r>
      <w:r/>
    </w:p>
    <w:p>
      <w:pPr>
        <w:ind w:firstLine="420"/>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 xml:space="preserve">详见第一章磋商邀请</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5.供应商的义务及注意事项</w:t>
      </w:r>
      <w:r/>
    </w:p>
    <w:p>
      <w:pPr>
        <w:ind w:firstLine="422"/>
        <w:spacing w:line="360" w:lineRule="auto"/>
        <w:rPr>
          <w:rFonts w:hint="default" w:ascii="Times New Roman" w:hAnsi="Times New Roman" w:eastAsia="宋体" w:cs="Times New Roman"/>
          <w:b/>
          <w:color w:val="auto"/>
          <w:szCs w:val="21"/>
          <w:highlight w:val="none"/>
          <w:lang w:val="zh-CN"/>
        </w:rPr>
        <w:outlineLvl w:val="2"/>
      </w:pPr>
      <w:r>
        <w:rPr>
          <w:rFonts w:hint="default" w:ascii="Times New Roman" w:hAnsi="Times New Roman" w:eastAsia="宋体" w:cs="Times New Roman"/>
          <w:b/>
          <w:color w:val="auto"/>
          <w:szCs w:val="21"/>
          <w:highlight w:val="none"/>
        </w:rPr>
        <w:t xml:space="preserve">5.1</w:t>
      </w:r>
      <w:r>
        <w:rPr>
          <w:rFonts w:hint="default" w:ascii="Times New Roman" w:hAnsi="Times New Roman" w:eastAsia="宋体" w:cs="Times New Roman"/>
          <w:b/>
          <w:color w:val="auto"/>
          <w:szCs w:val="21"/>
          <w:highlight w:val="none"/>
          <w:lang w:val="zh-CN"/>
        </w:rPr>
        <w:t xml:space="preserve">集中现场</w:t>
      </w:r>
      <w:r>
        <w:rPr>
          <w:rFonts w:hint="default" w:ascii="Times New Roman" w:hAnsi="Times New Roman" w:eastAsia="宋体" w:cs="Times New Roman"/>
          <w:b/>
          <w:color w:val="auto"/>
          <w:szCs w:val="21"/>
          <w:highlight w:val="none"/>
        </w:rPr>
        <w:t xml:space="preserve">答疑/勘察</w:t>
      </w:r>
      <w:r>
        <w:rPr>
          <w:rFonts w:hint="default" w:ascii="Times New Roman" w:hAnsi="Times New Roman" w:eastAsia="宋体" w:cs="Times New Roman"/>
          <w:b/>
          <w:color w:val="auto"/>
          <w:szCs w:val="21"/>
          <w:highlight w:val="none"/>
          <w:lang w:val="zh-CN"/>
        </w:rPr>
        <w:t xml:space="preserve">：无。</w:t>
      </w:r>
      <w:r/>
    </w:p>
    <w:p>
      <w:pPr>
        <w:ind w:firstLine="422"/>
        <w:spacing w:line="360" w:lineRule="auto"/>
        <w:rPr>
          <w:rFonts w:hint="default" w:ascii="Times New Roman" w:hAnsi="Times New Roman" w:eastAsia="宋体" w:cs="Times New Roman"/>
          <w:b/>
          <w:color w:val="auto"/>
          <w:szCs w:val="21"/>
          <w:highlight w:val="none"/>
        </w:rPr>
        <w:outlineLvl w:val="2"/>
      </w:pPr>
      <w:r>
        <w:rPr>
          <w:rFonts w:hint="default" w:ascii="Times New Roman" w:hAnsi="Times New Roman" w:eastAsia="宋体" w:cs="Times New Roman"/>
          <w:b/>
          <w:color w:val="auto"/>
          <w:szCs w:val="21"/>
          <w:highlight w:val="none"/>
        </w:rPr>
        <w:t xml:space="preserve">5.2义务</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5.2.3供应商应在磋商截止时间前，将密封的响应性文件送达磋商地点。</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826"/>
        <w:ind w:left="0" w:firstLine="42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default" w:ascii="Times New Roman" w:hAnsi="Times New Roman" w:eastAsia="宋体" w:cs="Times New Roman"/>
          <w:b/>
          <w:color w:val="auto"/>
          <w:szCs w:val="21"/>
          <w:highlight w:val="none"/>
        </w:rPr>
        <w:outlineLvl w:val="2"/>
      </w:pPr>
      <w:r>
        <w:rPr>
          <w:rFonts w:hint="default" w:ascii="Times New Roman" w:hAnsi="Times New Roman" w:eastAsia="宋体" w:cs="Times New Roman"/>
          <w:b/>
          <w:color w:val="auto"/>
          <w:szCs w:val="21"/>
          <w:highlight w:val="none"/>
        </w:rPr>
        <w:t xml:space="preserve">5.3注意事项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5.3.1本项目采购方式是</w:t>
      </w:r>
      <w:r>
        <w:rPr>
          <w:rFonts w:hint="default" w:ascii="Times New Roman" w:hAnsi="Times New Roman" w:eastAsia="宋体" w:cs="Times New Roman"/>
          <w:b/>
          <w:color w:val="auto"/>
          <w:szCs w:val="21"/>
          <w:highlight w:val="none"/>
        </w:rPr>
        <w:t xml:space="preserve">竞争性磋商</w:t>
      </w:r>
      <w:r>
        <w:rPr>
          <w:rFonts w:hint="default" w:ascii="Times New Roman" w:hAnsi="Times New Roman" w:eastAsia="宋体" w:cs="Times New Roman"/>
          <w:color w:val="auto"/>
          <w:szCs w:val="21"/>
          <w:highlight w:val="none"/>
        </w:rPr>
        <w:t xml:space="preserve">，整个项目是一个整体、不可分割。</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5.3.2验收标准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5.3.2.1磋商文件中明确的标准和技术要求，未明确部分按照国家最新的相关标准；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5.3.2.3供应商在澄清响应文件时作出的承诺，经采购人确认后，将作为对货物的验收依据之一；</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5.3.2.4项目完毕后，由采购人组织按国家相关标准进行验收。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5.3.4任何供应商成交，须保证所供货物能通过当地有关职能部门验收，否则采购人有权拒绝支付合同款项。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5.3.6本次项目</w:t>
      </w:r>
      <w:r>
        <w:rPr>
          <w:rFonts w:hint="default" w:ascii="Times New Roman" w:hAnsi="Times New Roman" w:eastAsia="宋体" w:cs="Times New Roman"/>
          <w:b/>
          <w:color w:val="auto"/>
          <w:szCs w:val="21"/>
          <w:highlight w:val="none"/>
        </w:rPr>
        <w:t xml:space="preserve">不接受联合体磋商</w:t>
      </w:r>
      <w:r>
        <w:rPr>
          <w:rFonts w:hint="default" w:ascii="Times New Roman" w:hAnsi="Times New Roman" w:eastAsia="宋体" w:cs="Times New Roman"/>
          <w:color w:val="auto"/>
          <w:szCs w:val="21"/>
          <w:highlight w:val="none"/>
        </w:rPr>
        <w:t xml:space="preserve">。</w:t>
      </w:r>
      <w:r/>
    </w:p>
    <w:p>
      <w:pPr>
        <w:ind w:firstLine="422"/>
        <w:spacing w:line="360" w:lineRule="auto"/>
        <w:tabs>
          <w:tab w:val="left" w:pos="1260" w:leader="none"/>
        </w:tabs>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6.磋商文件的澄清、修改</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7．磋商有效期</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7.1磋商有效期为磋商文件规定的磋商之日后</w:t>
      </w:r>
      <w:r>
        <w:rPr>
          <w:rFonts w:hint="default" w:ascii="Times New Roman" w:hAnsi="Times New Roman" w:eastAsia="宋体" w:cs="Times New Roman"/>
          <w:color w:val="auto"/>
          <w:highlight w:val="none"/>
          <w:lang w:val="en-US" w:eastAsia="zh-CN"/>
        </w:rPr>
        <w:t xml:space="preserve">6</w:t>
      </w:r>
      <w:r>
        <w:rPr>
          <w:rFonts w:hint="default" w:ascii="Times New Roman" w:hAnsi="Times New Roman" w:eastAsia="宋体" w:cs="Times New Roman"/>
          <w:color w:val="auto"/>
          <w:highlight w:val="none"/>
        </w:rPr>
        <w:t xml:space="preserve">0天。</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8</w:t>
      </w:r>
      <w:r>
        <w:rPr>
          <w:rFonts w:hint="default" w:ascii="Times New Roman" w:hAnsi="Times New Roman" w:eastAsia="宋体" w:cs="Times New Roman"/>
          <w:b/>
          <w:bCs/>
          <w:color w:val="auto"/>
          <w:szCs w:val="21"/>
          <w:highlight w:val="none"/>
          <w:lang w:val="zh-CN"/>
        </w:rPr>
        <w:t xml:space="preserve">．磋商费用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8.1供应商</w:t>
      </w:r>
      <w:r>
        <w:rPr>
          <w:rFonts w:hint="default" w:ascii="Times New Roman" w:hAnsi="Times New Roman" w:eastAsia="宋体" w:cs="Times New Roman"/>
          <w:color w:val="auto"/>
          <w:szCs w:val="21"/>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szCs w:val="21"/>
          <w:highlight w:val="none"/>
        </w:rPr>
        <w:t xml:space="preserve">8</w:t>
      </w:r>
      <w:r>
        <w:rPr>
          <w:rFonts w:hint="default" w:ascii="Times New Roman" w:hAnsi="Times New Roman" w:eastAsia="宋体" w:cs="Times New Roman"/>
          <w:color w:val="auto"/>
          <w:szCs w:val="21"/>
          <w:highlight w:val="none"/>
          <w:lang w:val="zh-CN"/>
        </w:rPr>
        <w:t xml:space="preserve">.2本次采购招标代理服务费</w:t>
      </w:r>
      <w:r>
        <w:rPr>
          <w:rFonts w:hint="eastAsia" w:ascii="Times New Roman" w:hAnsi="Times New Roman" w:eastAsia="宋体" w:cs="Times New Roman"/>
          <w:color w:val="auto"/>
          <w:szCs w:val="21"/>
          <w:highlight w:val="none"/>
          <w:lang w:val="zh-CN"/>
        </w:rPr>
        <w:t xml:space="preserve">由采购人支付</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b/>
          <w:color w:val="auto"/>
          <w:highlight w:val="none"/>
        </w:rPr>
        <w:outlineLvl w:val="1"/>
      </w:pPr>
      <w:r/>
      <w:bookmarkStart w:id="21" w:name="_Toc5467"/>
      <w:r/>
      <w:bookmarkStart w:id="22" w:name="_Toc8640"/>
      <w:r/>
      <w:bookmarkStart w:id="23" w:name="_Toc28108"/>
      <w:r/>
      <w:bookmarkStart w:id="24" w:name="_Toc27537"/>
      <w:r/>
      <w:bookmarkStart w:id="25" w:name="_Toc23454"/>
      <w:r/>
      <w:bookmarkStart w:id="26" w:name="_Toc16395"/>
      <w:r/>
      <w:bookmarkStart w:id="27" w:name="_Toc16353"/>
      <w:r/>
      <w:bookmarkStart w:id="28" w:name="_Toc4853"/>
      <w:r/>
      <w:bookmarkStart w:id="29" w:name="_Toc20309"/>
      <w:r/>
      <w:bookmarkStart w:id="30" w:name="_Toc12217"/>
      <w:r/>
      <w:bookmarkStart w:id="31" w:name="_Toc27328"/>
      <w:r/>
      <w:bookmarkStart w:id="32" w:name="_Toc32283"/>
      <w:r/>
      <w:bookmarkStart w:id="33" w:name="_Toc25994"/>
      <w:r/>
      <w:bookmarkStart w:id="34" w:name="_Toc15276"/>
      <w:r/>
      <w:bookmarkStart w:id="35" w:name="_Toc10774"/>
      <w:r/>
      <w:bookmarkStart w:id="36" w:name="_Toc504141738"/>
      <w:r/>
      <w:bookmarkStart w:id="37" w:name="_Toc3329"/>
      <w:r/>
      <w:bookmarkStart w:id="38" w:name="_Toc25711"/>
      <w:r/>
      <w:bookmarkStart w:id="39" w:name="_Toc20699"/>
      <w:r/>
      <w:bookmarkStart w:id="40" w:name="_Toc25749"/>
      <w:r/>
      <w:bookmarkStart w:id="41" w:name="_Toc345336137"/>
      <w:r/>
      <w:bookmarkStart w:id="42" w:name="_Toc27187"/>
      <w:r/>
      <w:bookmarkStart w:id="43" w:name="_Toc9417"/>
      <w:r/>
      <w:bookmarkStart w:id="44" w:name="_Toc29078"/>
      <w:r/>
      <w:bookmarkStart w:id="45" w:name="_Toc22943"/>
      <w:r/>
      <w:bookmarkStart w:id="46" w:name="_Toc22931"/>
      <w:r/>
      <w:bookmarkStart w:id="47" w:name="_Toc80"/>
      <w:r>
        <w:rPr>
          <w:rFonts w:hint="default" w:ascii="Times New Roman" w:hAnsi="Times New Roman" w:eastAsia="宋体" w:cs="Times New Roman"/>
          <w:b/>
          <w:color w:val="auto"/>
          <w:highlight w:val="none"/>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9.响应性文件的语言、计量单位、货币和编制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default" w:ascii="Times New Roman" w:hAnsi="Times New Roman" w:eastAsia="宋体" w:cs="Times New Roman"/>
          <w:color w:val="auto"/>
          <w:szCs w:val="21"/>
          <w:highlight w:val="none"/>
          <w:lang w:val="zh-CN"/>
        </w:rPr>
        <w:t xml:space="preserve">对不同文本磋商响应文件的解释发生异议的，以中文文本为准。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9.2供应商所使用的计量单位应为国家法定计量单位。</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rPr>
        <w:t xml:space="preserve">9.3供应商应用人民币报价。</w:t>
      </w:r>
      <w:r>
        <w:rPr>
          <w:rFonts w:hint="default" w:ascii="Times New Roman" w:hAnsi="Times New Roman" w:eastAsia="宋体" w:cs="Times New Roman"/>
          <w:color w:val="auto"/>
          <w:szCs w:val="21"/>
          <w:highlight w:val="none"/>
          <w:lang w:val="zh-CN"/>
        </w:rPr>
        <w:t xml:space="preserve">报价产品如果是进口产品的，应提供人民币与</w:t>
      </w:r>
      <w:r>
        <w:rPr>
          <w:rFonts w:hint="default" w:ascii="Times New Roman" w:hAnsi="Times New Roman" w:eastAsia="宋体" w:cs="Times New Roman"/>
          <w:b/>
          <w:color w:val="auto"/>
          <w:szCs w:val="21"/>
          <w:highlight w:val="none"/>
          <w:lang w:val="zh-CN"/>
        </w:rPr>
        <w:t xml:space="preserve">美元之间的汇率；报价单位为“元”。</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10.响应性文件的组成</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0</w:t>
      </w:r>
      <w:r>
        <w:rPr>
          <w:rFonts w:hint="default" w:ascii="Times New Roman" w:hAnsi="Times New Roman" w:eastAsia="宋体" w:cs="Times New Roman"/>
          <w:color w:val="auto"/>
          <w:szCs w:val="21"/>
          <w:highlight w:val="none"/>
          <w:lang w:val="zh-CN"/>
        </w:rPr>
        <w:t xml:space="preserve">.1 </w:t>
      </w:r>
      <w:r>
        <w:rPr>
          <w:rFonts w:hint="default" w:ascii="Times New Roman" w:hAnsi="Times New Roman" w:eastAsia="宋体" w:cs="Times New Roman"/>
          <w:color w:val="auto"/>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10.2</w:t>
      </w:r>
      <w:r>
        <w:rPr>
          <w:rFonts w:hint="default" w:ascii="Times New Roman" w:hAnsi="Times New Roman" w:eastAsia="宋体" w:cs="Times New Roman"/>
          <w:color w:val="auto"/>
          <w:szCs w:val="21"/>
          <w:highlight w:val="none"/>
          <w:lang w:val="zh-CN"/>
        </w:rPr>
        <w:t xml:space="preserve">磋商响应文件由商务部分、技术部分、价格部分，以及其他部分组成。</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b/>
          <w:color w:val="auto"/>
          <w:szCs w:val="21"/>
          <w:highlight w:val="none"/>
        </w:rPr>
        <w:t xml:space="preserve">11.响应性文件的商务部分</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 商务部分是证明供应商有资格参加磋商和成交后有能力履行合同的文件，</w:t>
      </w:r>
      <w:r>
        <w:rPr>
          <w:rFonts w:hint="default" w:ascii="Times New Roman" w:hAnsi="Times New Roman" w:eastAsia="宋体" w:cs="Times New Roman"/>
          <w:color w:val="auto"/>
          <w:szCs w:val="21"/>
          <w:highlight w:val="none"/>
        </w:rPr>
        <w:t xml:space="preserve">这些文件应能满足竞争性磋商采购的要求</w:t>
      </w:r>
      <w:r>
        <w:rPr>
          <w:rFonts w:hint="default" w:ascii="Times New Roman" w:hAnsi="Times New Roman" w:eastAsia="宋体" w:cs="Times New Roman"/>
          <w:color w:val="auto"/>
          <w:szCs w:val="21"/>
          <w:highlight w:val="none"/>
          <w:lang w:val="zh-CN"/>
        </w:rPr>
        <w:t xml:space="preserve">，包括但不限于下列文件，其中加</w:t>
      </w:r>
      <w:r>
        <w:rPr>
          <w:rFonts w:hint="default" w:ascii="Times New Roman" w:hAnsi="Times New Roman" w:eastAsia="宋体" w:cs="Times New Roman"/>
          <w:b/>
          <w:color w:val="auto"/>
          <w:szCs w:val="21"/>
          <w:highlight w:val="none"/>
        </w:rPr>
        <w:t xml:space="preserve">★</w:t>
      </w:r>
      <w:r>
        <w:rPr>
          <w:rFonts w:hint="default" w:ascii="Times New Roman" w:hAnsi="Times New Roman" w:eastAsia="宋体" w:cs="Times New Roman"/>
          <w:color w:val="auto"/>
          <w:szCs w:val="21"/>
          <w:highlight w:val="none"/>
          <w:lang w:val="zh-CN"/>
        </w:rPr>
        <w:t xml:space="preserve">项目不得有缺失或无效。</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b/>
          <w:color w:val="auto"/>
          <w:szCs w:val="21"/>
          <w:highlight w:val="none"/>
        </w:rPr>
        <w:t xml:space="preserve">★</w:t>
      </w:r>
      <w:r>
        <w:rPr>
          <w:rFonts w:hint="default" w:ascii="Times New Roman" w:hAnsi="Times New Roman" w:eastAsia="宋体" w:cs="Times New Roman"/>
          <w:color w:val="auto"/>
          <w:szCs w:val="21"/>
          <w:highlight w:val="none"/>
          <w:lang w:val="zh-CN"/>
        </w:rPr>
        <w:t xml:space="preserve">磋商申请及声明；</w:t>
      </w:r>
      <w:r/>
    </w:p>
    <w:p>
      <w:pPr>
        <w:ind w:firstLine="420"/>
        <w:spacing w:line="360" w:lineRule="auto"/>
        <w:widowControl/>
        <w:rPr>
          <w:rFonts w:hint="eastAsia" w:ascii="Times New Roman" w:hAnsi="Times New Roman"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w:t>
      </w:r>
      <w:r>
        <w:rPr>
          <w:rFonts w:hint="eastAsia" w:ascii="Times New Roman" w:hAnsi="Times New Roman" w:cs="Times New Roman"/>
          <w:color w:val="auto"/>
          <w:szCs w:val="21"/>
          <w:highlight w:val="none"/>
          <w:lang w:val="zh-CN"/>
        </w:rPr>
        <w:t xml:space="preserve">法定代表人授权委托书和采购公告前近三个月内任意</w:t>
      </w:r>
      <w:r>
        <w:rPr>
          <w:rFonts w:hint="eastAsia" w:ascii="Times New Roman" w:hAnsi="Times New Roman" w:cs="Times New Roman"/>
          <w:color w:val="auto"/>
          <w:szCs w:val="21"/>
          <w:highlight w:val="none"/>
          <w:lang w:val="zh-CN" w:eastAsia="zh-CN"/>
        </w:rPr>
        <w:t xml:space="preserve">一</w:t>
      </w:r>
      <w:r>
        <w:rPr>
          <w:rFonts w:hint="eastAsia" w:ascii="Times New Roman" w:hAnsi="Times New Roman" w:cs="Times New Roman"/>
          <w:color w:val="auto"/>
          <w:szCs w:val="21"/>
          <w:highlight w:val="none"/>
          <w:lang w:val="zh-CN"/>
        </w:rPr>
        <w:t xml:space="preserve">个月投标申请人为其缴纳的由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（4）★第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）《中华人民共和国政府采购法》规定的条件；</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（5）第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二</w:t>
      </w:r>
      <w:r>
        <w:rPr>
          <w:rFonts w:hint="default" w:ascii="Times New Roman" w:hAnsi="Times New Roman" w:eastAsia="宋体" w:cs="Times New Roman"/>
          <w:color w:val="auto"/>
          <w:szCs w:val="21"/>
          <w:highlight w:val="none"/>
          <w:lang w:val="zh-CN"/>
        </w:rPr>
        <w:t xml:space="preserve">）落实政府采购政策需满足的资格要求；</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（6）第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磋商邀请中（三）本项目的特定资格要求</w:t>
      </w:r>
      <w:r>
        <w:rPr>
          <w:rFonts w:hint="default" w:ascii="Times New Roman" w:hAnsi="Times New Roman" w:eastAsia="宋体" w:cs="Times New Roman"/>
          <w:color w:val="auto"/>
          <w:szCs w:val="21"/>
          <w:highlight w:val="none"/>
          <w:lang w:val="zh-CN"/>
        </w:rPr>
        <w:t xml:space="preserve">；</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7</w:t>
      </w:r>
      <w:r>
        <w:rPr>
          <w:rFonts w:hint="default" w:ascii="Times New Roman" w:hAnsi="Times New Roman" w:eastAsia="宋体" w:cs="Times New Roman"/>
          <w:color w:val="auto"/>
          <w:szCs w:val="21"/>
          <w:highlight w:val="none"/>
          <w:lang w:val="zh-CN"/>
        </w:rPr>
        <w:t xml:space="preserve">）企业业绩；</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8</w:t>
      </w:r>
      <w:r>
        <w:rPr>
          <w:rFonts w:hint="default" w:ascii="Times New Roman" w:hAnsi="Times New Roman" w:eastAsia="宋体" w:cs="Times New Roman"/>
          <w:color w:val="auto"/>
          <w:szCs w:val="21"/>
          <w:highlight w:val="none"/>
          <w:lang w:val="zh-CN"/>
        </w:rPr>
        <w:t xml:space="preserve">）供应商认为需要提供的其他证明文件和商务资料。</w:t>
      </w:r>
      <w:r/>
    </w:p>
    <w:p>
      <w:pPr>
        <w:ind w:firstLine="420"/>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12.价格部分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2</w:t>
      </w:r>
      <w:r>
        <w:rPr>
          <w:rFonts w:hint="default" w:ascii="Times New Roman" w:hAnsi="Times New Roman" w:eastAsia="宋体" w:cs="Times New Roman"/>
          <w:color w:val="auto"/>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2</w:t>
      </w:r>
      <w:r>
        <w:rPr>
          <w:rFonts w:hint="default" w:ascii="Times New Roman" w:hAnsi="Times New Roman" w:eastAsia="宋体" w:cs="Times New Roman"/>
          <w:color w:val="auto"/>
          <w:szCs w:val="21"/>
          <w:highlight w:val="none"/>
          <w:lang w:val="zh-CN"/>
        </w:rPr>
        <w:t xml:space="preserve">.2</w:t>
      </w:r>
      <w:r>
        <w:rPr>
          <w:rFonts w:hint="default" w:ascii="Times New Roman" w:hAnsi="Times New Roman" w:eastAsia="宋体" w:cs="Times New Roman"/>
          <w:color w:val="auto"/>
          <w:szCs w:val="21"/>
          <w:highlight w:val="none"/>
        </w:rPr>
        <w:t xml:space="preserve">磋商</w:t>
      </w:r>
      <w:r>
        <w:rPr>
          <w:rFonts w:hint="default" w:ascii="Times New Roman" w:hAnsi="Times New Roman" w:eastAsia="宋体" w:cs="Times New Roman"/>
          <w:color w:val="auto"/>
          <w:szCs w:val="21"/>
          <w:highlight w:val="none"/>
          <w:lang w:val="zh-CN"/>
        </w:rPr>
        <w:t xml:space="preserve">报价是磋商文件所确定的采购范围内的全部货物或服务的价格体现。</w:t>
      </w:r>
      <w:r>
        <w:rPr>
          <w:rFonts w:hint="default" w:ascii="Times New Roman" w:hAnsi="Times New Roman" w:eastAsia="宋体" w:cs="Times New Roman"/>
          <w:color w:val="auto"/>
          <w:szCs w:val="21"/>
          <w:highlight w:val="none"/>
        </w:rPr>
        <w:t xml:space="preserve">磋商</w:t>
      </w:r>
      <w:r>
        <w:rPr>
          <w:rFonts w:hint="default" w:ascii="Times New Roman" w:hAnsi="Times New Roman" w:eastAsia="宋体" w:cs="Times New Roman"/>
          <w:color w:val="auto"/>
          <w:szCs w:val="21"/>
          <w:highlight w:val="none"/>
          <w:lang w:val="zh-CN"/>
        </w:rPr>
        <w:t xml:space="preserve">报价：包括但不限于完成文件所确定的服务范围所需的材料、设备、管理、</w:t>
      </w:r>
      <w:r>
        <w:rPr>
          <w:rFonts w:hint="default" w:ascii="Times New Roman" w:hAnsi="Times New Roman" w:eastAsia="宋体" w:cs="Times New Roman"/>
          <w:color w:val="auto"/>
          <w:szCs w:val="21"/>
          <w:highlight w:val="none"/>
        </w:rPr>
        <w:t xml:space="preserve">差旅、</w:t>
      </w:r>
      <w:r>
        <w:rPr>
          <w:rFonts w:hint="default" w:ascii="Times New Roman" w:hAnsi="Times New Roman" w:eastAsia="宋体" w:cs="Times New Roman"/>
          <w:color w:val="auto"/>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12.3供应商应在《磋商报价汇总表》中标明拟提供货物或服务磋商报价。</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highlight w:val="none"/>
        </w:rPr>
        <w:t xml:space="preserve">12.4</w:t>
      </w:r>
      <w:r>
        <w:rPr>
          <w:rFonts w:hint="default" w:ascii="Times New Roman" w:hAnsi="Times New Roman" w:eastAsia="宋体" w:cs="Times New Roman"/>
          <w:b/>
          <w:color w:val="auto"/>
          <w:szCs w:val="21"/>
          <w:highlight w:val="none"/>
          <w:lang w:val="zh-CN"/>
        </w:rPr>
        <w:t xml:space="preserve">供应商应</w:t>
      </w:r>
      <w:r>
        <w:rPr>
          <w:rFonts w:hint="default" w:ascii="Times New Roman" w:hAnsi="Times New Roman" w:eastAsia="宋体" w:cs="Times New Roman"/>
          <w:b/>
          <w:color w:val="auto"/>
          <w:szCs w:val="21"/>
          <w:highlight w:val="none"/>
        </w:rPr>
        <w:t xml:space="preserve">仔细阅读和理解磋商文件中有关项目需求、义务、付款方式、付款条件和时间进度安排，</w:t>
      </w:r>
      <w:r>
        <w:rPr>
          <w:rFonts w:hint="default" w:ascii="Times New Roman" w:hAnsi="Times New Roman" w:eastAsia="宋体" w:cs="Times New Roman"/>
          <w:b/>
          <w:color w:val="auto"/>
          <w:szCs w:val="21"/>
          <w:highlight w:val="none"/>
          <w:lang w:val="zh-CN"/>
        </w:rPr>
        <w:t xml:space="preserve">充分考虑到市场价格变动以及项目实施过程中的不可预见因素，</w:t>
      </w:r>
      <w:r>
        <w:rPr>
          <w:rFonts w:hint="default" w:ascii="Times New Roman" w:hAnsi="Times New Roman" w:eastAsia="宋体" w:cs="Times New Roman"/>
          <w:b/>
          <w:color w:val="auto"/>
          <w:szCs w:val="21"/>
          <w:highlight w:val="none"/>
        </w:rPr>
        <w:t xml:space="preserve">结合企业自身条件进行报价，</w:t>
      </w:r>
      <w:r>
        <w:rPr>
          <w:rFonts w:hint="default" w:ascii="Times New Roman" w:hAnsi="Times New Roman" w:eastAsia="宋体" w:cs="Times New Roman"/>
          <w:b/>
          <w:color w:val="auto"/>
          <w:szCs w:val="21"/>
          <w:highlight w:val="none"/>
          <w:lang w:val="zh-CN"/>
        </w:rPr>
        <w:t xml:space="preserve">一旦成交，如果有漏项，视同让利。</w:t>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1</w:t>
      </w:r>
      <w:r>
        <w:rPr>
          <w:rFonts w:hint="default" w:ascii="Times New Roman" w:hAnsi="Times New Roman" w:eastAsia="宋体" w:cs="Times New Roman"/>
          <w:b/>
          <w:color w:val="auto"/>
          <w:szCs w:val="21"/>
          <w:highlight w:val="none"/>
        </w:rPr>
        <w:t xml:space="preserve">2</w:t>
      </w:r>
      <w:r>
        <w:rPr>
          <w:rFonts w:hint="default" w:ascii="Times New Roman" w:hAnsi="Times New Roman" w:eastAsia="宋体" w:cs="Times New Roman"/>
          <w:b/>
          <w:color w:val="auto"/>
          <w:szCs w:val="21"/>
          <w:highlight w:val="none"/>
          <w:lang w:val="zh-CN"/>
        </w:rPr>
        <w:t xml:space="preserve">.5 经磋商后，如果成交价高于或低于供应商在磋商响应文件报价的话，分项报价同比例调整。</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12.7 政府采购提倡公平竞争，反对盲目压价参与磋商，任何盲目压价和低于成本报价将会被拒绝。</w:t>
      </w:r>
      <w:r/>
    </w:p>
    <w:p>
      <w:pPr>
        <w:ind w:firstLine="422"/>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zCs w:val="21"/>
          <w:highlight w:val="none"/>
        </w:rPr>
        <w:t xml:space="preserve">13.</w:t>
      </w:r>
      <w:r>
        <w:rPr>
          <w:rFonts w:hint="default" w:ascii="Times New Roman" w:hAnsi="Times New Roman" w:eastAsia="宋体" w:cs="Times New Roman"/>
          <w:b/>
          <w:color w:val="auto"/>
          <w:highlight w:val="none"/>
        </w:rPr>
        <w:t xml:space="preserve">技术部分.</w:t>
      </w:r>
      <w:r>
        <w:rPr>
          <w:rFonts w:hint="default" w:ascii="Times New Roman" w:hAnsi="Times New Roman" w:eastAsia="宋体" w:cs="Times New Roman"/>
          <w:color w:val="auto"/>
          <w:szCs w:val="21"/>
          <w:highlight w:val="none"/>
          <w:lang w:val="zh-CN"/>
        </w:rPr>
        <w:t xml:space="preserve"> 技术部分是证明</w:t>
      </w:r>
      <w:r>
        <w:rPr>
          <w:rFonts w:hint="default" w:ascii="Times New Roman" w:hAnsi="Times New Roman" w:eastAsia="宋体" w:cs="Times New Roman"/>
          <w:color w:val="auto"/>
          <w:szCs w:val="21"/>
          <w:highlight w:val="none"/>
        </w:rPr>
        <w:t xml:space="preserve">供应商提供的货物和服务是合格的、并符合竞争性磋商文件要求的证明文件，以及</w:t>
      </w:r>
      <w:r>
        <w:rPr>
          <w:rFonts w:hint="default" w:ascii="Times New Roman" w:hAnsi="Times New Roman" w:eastAsia="宋体" w:cs="Times New Roman"/>
          <w:color w:val="auto"/>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hint="default" w:ascii="Times New Roman" w:hAnsi="Times New Roman" w:eastAsia="宋体" w:cs="Times New Roman"/>
          <w:color w:val="auto"/>
          <w:szCs w:val="21"/>
          <w:highlight w:val="none"/>
          <w:lang w:val="zh-CN"/>
        </w:rPr>
      </w:pPr>
      <w:r/>
      <w:bookmarkStart w:id="48" w:name="_Toc345336138"/>
      <w:r>
        <w:rPr>
          <w:rFonts w:hint="default" w:ascii="Times New Roman" w:hAnsi="Times New Roman" w:eastAsia="宋体" w:cs="Times New Roman"/>
          <w:color w:val="auto"/>
          <w:szCs w:val="21"/>
          <w:highlight w:val="none"/>
          <w:lang w:val="zh-CN"/>
        </w:rPr>
        <w:t xml:space="preserve">（1）项目</w:t>
      </w:r>
      <w:r>
        <w:rPr>
          <w:rFonts w:hint="default" w:ascii="Times New Roman" w:hAnsi="Times New Roman" w:eastAsia="宋体" w:cs="Times New Roman"/>
          <w:color w:val="auto"/>
          <w:szCs w:val="21"/>
          <w:highlight w:val="none"/>
        </w:rPr>
        <w:t xml:space="preserve">服务方案</w:t>
      </w:r>
      <w:r>
        <w:rPr>
          <w:rFonts w:hint="default" w:ascii="Times New Roman" w:hAnsi="Times New Roman" w:eastAsia="宋体" w:cs="Times New Roman"/>
          <w:color w:val="auto"/>
          <w:szCs w:val="21"/>
          <w:highlight w:val="none"/>
          <w:lang w:val="zh-CN"/>
        </w:rPr>
        <w:t xml:space="preserve">；</w:t>
      </w:r>
      <w:r/>
    </w:p>
    <w:p>
      <w:pPr>
        <w:ind w:firstLine="420"/>
        <w:spacing w:line="360" w:lineRule="auto"/>
        <w:tabs>
          <w:tab w:val="left" w:pos="732" w:leader="none"/>
        </w:tabs>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（2）项目组成员一览表</w:t>
      </w:r>
      <w:r>
        <w:rPr>
          <w:rFonts w:hint="default" w:ascii="Times New Roman" w:hAnsi="Times New Roman" w:eastAsia="宋体" w:cs="Times New Roman"/>
          <w:color w:val="auto"/>
          <w:szCs w:val="21"/>
          <w:highlight w:val="none"/>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3</w:t>
      </w:r>
      <w:r>
        <w:rPr>
          <w:rFonts w:hint="default" w:ascii="Times New Roman" w:hAnsi="Times New Roman" w:eastAsia="宋体" w:cs="Times New Roman"/>
          <w:color w:val="auto"/>
          <w:szCs w:val="21"/>
          <w:highlight w:val="none"/>
          <w:lang w:val="zh-CN"/>
        </w:rPr>
        <w:t xml:space="preserve">）质量保证及服务承诺；</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zh-CN"/>
        </w:rPr>
        <w:t xml:space="preserve">）供应商认为需要提供的其他技术文件或资料等。</w:t>
      </w:r>
      <w:r/>
    </w:p>
    <w:p>
      <w:pPr>
        <w:ind w:firstLine="422"/>
        <w:spacing w:line="360" w:lineRule="auto"/>
        <w:rPr>
          <w:rFonts w:hint="default" w:ascii="Times New Roman" w:hAnsi="Times New Roman" w:eastAsia="宋体" w:cs="Times New Roman"/>
          <w:b/>
          <w:color w:val="auto"/>
          <w:highlight w:val="none"/>
        </w:rPr>
        <w:outlineLvl w:val="1"/>
      </w:pPr>
      <w:r/>
      <w:bookmarkStart w:id="49" w:name="_Toc10399"/>
      <w:r/>
      <w:bookmarkStart w:id="50" w:name="_Toc30439"/>
      <w:r/>
      <w:bookmarkStart w:id="51" w:name="_Toc504141739"/>
      <w:r/>
      <w:bookmarkStart w:id="52" w:name="_Toc32189"/>
      <w:r/>
      <w:bookmarkStart w:id="53" w:name="_Toc10660"/>
      <w:r/>
      <w:bookmarkStart w:id="54" w:name="_Toc5718"/>
      <w:r/>
      <w:bookmarkStart w:id="55" w:name="_Toc28102"/>
      <w:r/>
      <w:bookmarkStart w:id="56" w:name="_Toc31865"/>
      <w:r/>
      <w:bookmarkStart w:id="57" w:name="_Toc16489"/>
      <w:r/>
      <w:bookmarkStart w:id="58" w:name="_Toc26345"/>
      <w:r/>
      <w:bookmarkStart w:id="59" w:name="_Toc4007"/>
      <w:r/>
      <w:bookmarkStart w:id="60" w:name="_Toc6219"/>
      <w:r/>
      <w:bookmarkStart w:id="61" w:name="_Toc9596"/>
      <w:r/>
      <w:bookmarkStart w:id="62" w:name="_Toc5272"/>
      <w:r/>
      <w:bookmarkStart w:id="63" w:name="_Toc25657"/>
      <w:r/>
      <w:bookmarkStart w:id="64" w:name="_Toc29874"/>
      <w:r/>
      <w:bookmarkStart w:id="65" w:name="_Toc22138"/>
      <w:r/>
      <w:bookmarkStart w:id="66" w:name="_Toc2355"/>
      <w:r/>
      <w:bookmarkStart w:id="67" w:name="_Toc29998"/>
      <w:r/>
      <w:bookmarkStart w:id="68" w:name="_Toc26769"/>
      <w:r/>
      <w:bookmarkStart w:id="69" w:name="_Toc32510"/>
      <w:r/>
      <w:bookmarkStart w:id="70" w:name="_Toc28228"/>
      <w:r/>
      <w:bookmarkStart w:id="71" w:name="_Toc18928"/>
      <w:r/>
      <w:bookmarkStart w:id="72" w:name="_Toc9138"/>
      <w:r/>
      <w:bookmarkStart w:id="73" w:name="_Toc6584"/>
      <w:r/>
      <w:bookmarkStart w:id="74" w:name="_Toc4248"/>
      <w:r/>
      <w:bookmarkStart w:id="75" w:name="_Toc21818"/>
      <w:r/>
      <w:bookmarkStart w:id="76" w:name="_Toc10119"/>
      <w:r/>
      <w:bookmarkStart w:id="77" w:name="_Toc13186"/>
      <w:r/>
      <w:bookmarkStart w:id="78" w:name="_Toc10318"/>
      <w:r>
        <w:rPr>
          <w:rFonts w:hint="default" w:ascii="Times New Roman" w:hAnsi="Times New Roman" w:eastAsia="宋体" w:cs="Times New Roman"/>
          <w:b/>
          <w:color w:val="auto"/>
          <w:highlight w:val="none"/>
        </w:rPr>
        <w:t xml:space="preserve">三、响应性文件递交</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14.</w:t>
      </w:r>
      <w:r>
        <w:rPr>
          <w:rFonts w:hint="default" w:ascii="Times New Roman" w:hAnsi="Times New Roman" w:eastAsia="宋体" w:cs="Times New Roman"/>
          <w:color w:val="auto"/>
          <w:szCs w:val="21"/>
          <w:highlight w:val="none"/>
          <w:lang w:val="zh-CN"/>
        </w:rPr>
        <w:t xml:space="preserve">供应商应当按照《操作手册》规定，在提交响应文件截止时间前制作并上传电子响应文件。</w:t>
      </w:r>
      <w:bookmarkStart w:id="79" w:name="_Toc513029226"/>
      <w:r/>
      <w:bookmarkEnd w:id="79"/>
      <w:r/>
      <w:bookmarkStart w:id="80" w:name="_Toc20823298"/>
      <w:r/>
      <w:bookmarkEnd w:id="80"/>
      <w:r/>
      <w:bookmarkStart w:id="81" w:name="_Toc16938542"/>
      <w:r/>
      <w:bookmarkEnd w:id="81"/>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15.</w:t>
      </w:r>
      <w:r>
        <w:rPr>
          <w:rFonts w:hint="default" w:ascii="Times New Roman" w:hAnsi="Times New Roman" w:eastAsia="宋体" w:cs="Times New Roman"/>
          <w:color w:val="auto"/>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default" w:ascii="Times New Roman" w:hAnsi="Times New Roman" w:eastAsia="宋体" w:cs="Times New Roman"/>
          <w:color w:val="auto"/>
          <w:szCs w:val="21"/>
          <w:highlight w:val="none"/>
        </w:rPr>
        <w:t xml:space="preserve">25.2.3</w:t>
      </w:r>
      <w:r>
        <w:rPr>
          <w:rFonts w:hint="default" w:ascii="Times New Roman" w:hAnsi="Times New Roman" w:eastAsia="宋体" w:cs="Times New Roman"/>
          <w:color w:val="auto"/>
          <w:szCs w:val="21"/>
          <w:highlight w:val="none"/>
          <w:lang w:val="zh-CN"/>
        </w:rPr>
        <w:t xml:space="preserve">条规定无效响应处理。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16.</w:t>
      </w:r>
      <w:r>
        <w:rPr>
          <w:rFonts w:hint="default" w:ascii="Times New Roman" w:hAnsi="Times New Roman" w:eastAsia="宋体" w:cs="Times New Roman"/>
          <w:color w:val="auto"/>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highlight w:val="none"/>
        </w:rPr>
        <w:t xml:space="preserve">17.</w:t>
      </w:r>
      <w:r>
        <w:rPr>
          <w:rFonts w:hint="default" w:ascii="Times New Roman" w:hAnsi="Times New Roman" w:eastAsia="宋体" w:cs="Times New Roman"/>
          <w:b/>
          <w:bCs/>
          <w:color w:val="auto"/>
          <w:szCs w:val="21"/>
          <w:highlight w:val="none"/>
          <w:lang w:val="zh-CN"/>
        </w:rPr>
        <w:t xml:space="preserve">有下列情形之一的磋商响应文件将拒收：</w:t>
      </w:r>
      <w:r/>
    </w:p>
    <w:p>
      <w:pPr>
        <w:ind w:firstLine="420"/>
        <w:spacing w:line="360" w:lineRule="auto"/>
        <w:rPr>
          <w:rFonts w:hint="default" w:ascii="Times New Roman" w:hAnsi="Times New Roman" w:eastAsia="宋体" w:cs="Times New Roman"/>
          <w:color w:val="auto"/>
          <w:szCs w:val="21"/>
          <w:highlight w:val="none"/>
        </w:rPr>
      </w:pPr>
      <w:r/>
      <w:bookmarkStart w:id="82" w:name="_Toc303"/>
      <w:r>
        <w:rPr>
          <w:rFonts w:hint="default" w:ascii="Times New Roman" w:hAnsi="Times New Roman" w:eastAsia="宋体" w:cs="Times New Roman"/>
          <w:color w:val="auto"/>
          <w:szCs w:val="21"/>
          <w:highlight w:val="none"/>
        </w:rPr>
        <w:t xml:space="preserve">（1）采购代理机构拒绝接收提交响应文件截止时间后上传的任何电子响应文件。</w:t>
      </w:r>
      <w:r/>
    </w:p>
    <w:p>
      <w:pPr>
        <w:ind w:firstLine="420"/>
        <w:spacing w:line="360" w:lineRule="auto"/>
        <w:rPr>
          <w:rFonts w:hint="default" w:ascii="Times New Roman" w:hAnsi="Times New Roman" w:eastAsia="宋体" w:cs="Times New Roman"/>
          <w:b/>
          <w:bCs/>
          <w:color w:val="auto"/>
          <w:highlight w:val="none"/>
          <w:lang w:val="zh-CN"/>
        </w:rPr>
      </w:pPr>
      <w:r/>
      <w:bookmarkStart w:id="83" w:name="_Toc16938544"/>
      <w:r/>
      <w:bookmarkStart w:id="84" w:name="_Toc20823300"/>
      <w:r/>
      <w:bookmarkStart w:id="85" w:name="_Toc513029228"/>
      <w:r>
        <w:rPr>
          <w:rFonts w:hint="default" w:ascii="Times New Roman" w:hAnsi="Times New Roman" w:eastAsia="宋体" w:cs="Times New Roman"/>
          <w:b/>
          <w:bCs/>
          <w:color w:val="auto"/>
          <w:highlight w:val="none"/>
        </w:rPr>
        <w:t xml:space="preserve">18</w:t>
      </w:r>
      <w:r>
        <w:rPr>
          <w:rFonts w:hint="default" w:ascii="Times New Roman" w:hAnsi="Times New Roman" w:eastAsia="宋体" w:cs="Times New Roman"/>
          <w:b/>
          <w:bCs/>
          <w:color w:val="auto"/>
          <w:highlight w:val="none"/>
          <w:lang w:val="zh-CN"/>
        </w:rPr>
        <w:t xml:space="preserve">.响应文件的撤回和修改</w:t>
      </w:r>
      <w:bookmarkEnd w:id="83"/>
      <w:r/>
      <w:bookmarkEnd w:id="84"/>
      <w:r/>
      <w:bookmarkEnd w:id="85"/>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 响应文件的撤回</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.1.1 供应商可在提交响应文件截止时间前，撤回其电子响应文件，具体操作方法见《操作手册》。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.1.2 供应商撤回电子响应文件，则认为其不再参与本项目磋商活动。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 响应文件的修改</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.2.2 在提交响应文件截止时间之后，供应商不得对其电子响应文件作任何修改。</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default" w:ascii="Times New Roman" w:hAnsi="Times New Roman" w:eastAsia="宋体" w:cs="Times New Roman"/>
          <w:b/>
          <w:color w:val="auto"/>
          <w:highlight w:val="none"/>
        </w:rPr>
        <w:outlineLvl w:val="1"/>
      </w:pPr>
      <w:r/>
      <w:bookmarkStart w:id="86" w:name="_Toc12144"/>
      <w:r/>
      <w:bookmarkStart w:id="87" w:name="_Toc16556"/>
      <w:r>
        <w:rPr>
          <w:rFonts w:hint="default" w:ascii="Times New Roman" w:hAnsi="Times New Roman" w:eastAsia="宋体" w:cs="Times New Roman"/>
          <w:b/>
          <w:color w:val="auto"/>
          <w:highlight w:val="none"/>
        </w:rPr>
        <w:t xml:space="preserve">四、诚实信用</w:t>
      </w:r>
      <w:bookmarkEnd w:id="82"/>
      <w:r/>
      <w:bookmarkEnd w:id="86"/>
      <w:r/>
      <w:bookmarkEnd w:id="87"/>
      <w:r/>
      <w:r/>
    </w:p>
    <w:p>
      <w:pPr>
        <w:ind w:firstLine="420"/>
        <w:spacing w:line="360" w:lineRule="auto"/>
        <w:tabs>
          <w:tab w:val="left" w:pos="5355" w:leader="none"/>
        </w:tabs>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19</w:t>
      </w:r>
      <w:r>
        <w:rPr>
          <w:rFonts w:hint="default" w:ascii="Times New Roman" w:hAnsi="Times New Roman" w:eastAsia="宋体" w:cs="Times New Roman"/>
          <w:b/>
          <w:bCs/>
          <w:color w:val="auto"/>
          <w:szCs w:val="21"/>
          <w:highlight w:val="none"/>
          <w:lang w:val="zh-CN"/>
        </w:rPr>
        <w:t xml:space="preserve">. 诚实信用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.1 供应商之间不得相互串通投标报价，不得妨碍其他供应商的公平竞争，不得损害采购人和其他供应商的合法权益。</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.4 供应商不得虚假承诺，否则，按照提供虚假材料谋取中标成交处理。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.6违反信用承诺的法律责任</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default" w:ascii="Times New Roman" w:hAnsi="Times New Roman" w:eastAsia="宋体" w:cs="Times New Roman"/>
          <w:b/>
          <w:color w:val="auto"/>
          <w:highlight w:val="none"/>
        </w:rPr>
        <w:outlineLvl w:val="1"/>
      </w:pPr>
      <w:r/>
      <w:bookmarkStart w:id="88" w:name="_Toc20962"/>
      <w:r/>
      <w:bookmarkStart w:id="89" w:name="_Toc9275"/>
      <w:r/>
      <w:bookmarkStart w:id="90" w:name="_Toc16693"/>
      <w:r/>
      <w:bookmarkStart w:id="91" w:name="_Toc17487"/>
      <w:r/>
      <w:bookmarkStart w:id="92" w:name="_Toc322"/>
      <w:r/>
      <w:bookmarkStart w:id="93" w:name="_Toc11401"/>
      <w:r/>
      <w:bookmarkStart w:id="94" w:name="_Toc11097"/>
      <w:r/>
      <w:bookmarkStart w:id="95" w:name="_Toc26188"/>
      <w:r/>
      <w:bookmarkStart w:id="96" w:name="_Toc28259"/>
      <w:r/>
      <w:bookmarkStart w:id="97" w:name="_Toc2163"/>
      <w:r/>
      <w:bookmarkStart w:id="98" w:name="_Toc4589"/>
      <w:r/>
      <w:bookmarkStart w:id="99" w:name="_Toc9375"/>
      <w:r/>
      <w:bookmarkStart w:id="100" w:name="_Toc28219"/>
      <w:r/>
      <w:bookmarkStart w:id="101" w:name="_Toc27195"/>
      <w:r/>
      <w:bookmarkStart w:id="102" w:name="_Toc504141740"/>
      <w:r/>
      <w:bookmarkStart w:id="103" w:name="_Toc15080"/>
      <w:r/>
      <w:bookmarkStart w:id="104" w:name="_Toc15490"/>
      <w:r/>
      <w:bookmarkStart w:id="105" w:name="_Toc23666"/>
      <w:r/>
      <w:bookmarkStart w:id="106" w:name="_Toc16427"/>
      <w:r/>
      <w:bookmarkStart w:id="107" w:name="_Toc345336139"/>
      <w:r/>
      <w:bookmarkStart w:id="108" w:name="_Toc1232"/>
      <w:r/>
      <w:bookmarkStart w:id="109" w:name="_Toc16242"/>
      <w:r/>
      <w:bookmarkStart w:id="110" w:name="_Toc7433"/>
      <w:r/>
      <w:bookmarkStart w:id="111" w:name="_Toc25289"/>
      <w:r/>
      <w:bookmarkStart w:id="112" w:name="_Toc11328"/>
      <w:r/>
      <w:bookmarkStart w:id="113" w:name="_Toc16553"/>
      <w:r/>
      <w:bookmarkStart w:id="114" w:name="_Toc12618"/>
      <w:r/>
      <w:bookmarkStart w:id="115" w:name="_Toc7507"/>
      <w:r/>
      <w:bookmarkStart w:id="116" w:name="_Toc14645"/>
      <w:r/>
      <w:bookmarkStart w:id="117" w:name="_Toc815"/>
      <w:r/>
      <w:bookmarkStart w:id="118" w:name="_Toc21664"/>
      <w:r>
        <w:rPr>
          <w:rFonts w:hint="default" w:ascii="Times New Roman" w:hAnsi="Times New Roman" w:eastAsia="宋体" w:cs="Times New Roman"/>
          <w:b/>
          <w:color w:val="auto"/>
          <w:highlight w:val="none"/>
        </w:rPr>
        <w:t xml:space="preserve">五、磋商</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20"/>
        <w:spacing w:line="360" w:lineRule="auto"/>
        <w:rPr>
          <w:rFonts w:hint="default" w:ascii="Times New Roman" w:hAnsi="Times New Roman" w:eastAsia="宋体" w:cs="Times New Roman"/>
          <w:b/>
          <w:bCs/>
          <w:color w:val="auto"/>
          <w:szCs w:val="21"/>
          <w:highlight w:val="none"/>
          <w:lang w:val="zh-CN"/>
        </w:rPr>
      </w:pPr>
      <w:r/>
      <w:bookmarkStart w:id="119" w:name="_Toc345336140"/>
      <w:r>
        <w:rPr>
          <w:rFonts w:hint="default" w:ascii="Times New Roman" w:hAnsi="Times New Roman" w:eastAsia="宋体" w:cs="Times New Roman"/>
          <w:b/>
          <w:bCs/>
          <w:color w:val="auto"/>
          <w:szCs w:val="21"/>
          <w:highlight w:val="none"/>
        </w:rPr>
        <w:t xml:space="preserve">20</w:t>
      </w:r>
      <w:r>
        <w:rPr>
          <w:rFonts w:hint="default" w:ascii="Times New Roman" w:hAnsi="Times New Roman" w:eastAsia="宋体" w:cs="Times New Roman"/>
          <w:b/>
          <w:bCs/>
          <w:color w:val="auto"/>
          <w:szCs w:val="21"/>
          <w:highlight w:val="none"/>
          <w:lang w:val="zh-CN"/>
        </w:rPr>
        <w:t xml:space="preserve">.响应文件解密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20</w:t>
      </w:r>
      <w:r>
        <w:rPr>
          <w:rFonts w:hint="default" w:ascii="Times New Roman" w:hAnsi="Times New Roman" w:eastAsia="宋体" w:cs="Times New Roman"/>
          <w:color w:val="auto"/>
          <w:szCs w:val="21"/>
          <w:highlight w:val="none"/>
          <w:lang w:val="zh-CN"/>
        </w:rPr>
        <w:t xml:space="preserve">.1 供应商应当按照《操作手册》规定，在苏采云系统规定的时间内对响应文件进行解密。</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21</w:t>
      </w:r>
      <w:r>
        <w:rPr>
          <w:rFonts w:hint="default" w:ascii="Times New Roman" w:hAnsi="Times New Roman" w:eastAsia="宋体" w:cs="Times New Roman"/>
          <w:b/>
          <w:bCs/>
          <w:color w:val="auto"/>
          <w:szCs w:val="21"/>
          <w:highlight w:val="none"/>
          <w:lang w:val="zh-CN"/>
        </w:rPr>
        <w:t xml:space="preserve">、磋商组织</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21</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1</w:t>
      </w:r>
      <w:r>
        <w:rPr>
          <w:rFonts w:hint="default" w:ascii="Times New Roman" w:hAnsi="Times New Roman" w:eastAsia="宋体" w:cs="Times New Roman"/>
          <w:color w:val="auto"/>
          <w:szCs w:val="21"/>
          <w:highlight w:val="none"/>
          <w:lang w:val="zh-CN"/>
        </w:rPr>
        <w:t xml:space="preserve"> 磋商工作由代理机构负责组织，具体磋商事务由依法组建的磋商小组负责。</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22</w:t>
      </w:r>
      <w:r>
        <w:rPr>
          <w:rFonts w:hint="default" w:ascii="Times New Roman" w:hAnsi="Times New Roman" w:eastAsia="宋体" w:cs="Times New Roman"/>
          <w:b/>
          <w:bCs/>
          <w:color w:val="auto"/>
          <w:szCs w:val="21"/>
          <w:highlight w:val="none"/>
          <w:lang w:val="zh-CN"/>
        </w:rPr>
        <w:t xml:space="preserve">.评审过程的保密与公正</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.2 供应商不得以任何方式影响磋商评审，否则其响应文件将被作为无效响应文件。</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23</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rPr>
        <w:t xml:space="preserve">评审过程中的澄清</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(1)大写金额和小写金额不一致的，以大写金额为准；</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24</w:t>
      </w:r>
      <w:r>
        <w:rPr>
          <w:rFonts w:hint="default" w:ascii="Times New Roman" w:hAnsi="Times New Roman" w:eastAsia="宋体" w:cs="Times New Roman"/>
          <w:b/>
          <w:color w:val="auto"/>
          <w:szCs w:val="21"/>
          <w:highlight w:val="none"/>
          <w:lang w:val="zh-CN"/>
        </w:rPr>
        <w:t xml:space="preserve">、磋商程序</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.3最后报价是供应商响应文件的有效组成部分。</w:t>
      </w:r>
      <w:r>
        <w:rPr>
          <w:rFonts w:hint="default" w:ascii="Times New Roman" w:hAnsi="Times New Roman" w:eastAsia="宋体" w:cs="Times New Roman"/>
          <w:color w:val="auto"/>
          <w:szCs w:val="21"/>
          <w:highlight w:val="none"/>
          <w:lang w:val="zh-CN"/>
        </w:rPr>
        <w:t xml:space="preserve">提交最后报价的供应商不得少于3家，符合《政府采购竞争性磋商采购方式理暂行办法》第三条第四项及《财政部关于竞争性磋商采购方式管理暂行办法有关问题的补充通知》（财库〔2015〕124号）规定情形的，</w:t>
      </w:r>
      <w:r>
        <w:rPr>
          <w:rFonts w:hint="default" w:ascii="Times New Roman" w:hAnsi="Times New Roman" w:eastAsia="宋体" w:cs="Times New Roman"/>
          <w:bCs/>
          <w:color w:val="auto"/>
          <w:szCs w:val="21"/>
          <w:highlight w:val="none"/>
          <w:lang w:val="zh-CN"/>
        </w:rPr>
        <w:t xml:space="preserve">提交最后报价的供应商可以为2家。</w:t>
      </w:r>
      <w:r/>
    </w:p>
    <w:p>
      <w:pPr>
        <w:ind w:firstLine="420"/>
        <w:spacing w:line="360" w:lineRule="auto"/>
        <w:shd w:val="clear" w:color="auto" w:fill="ffffff"/>
        <w:widowControl/>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25</w:t>
      </w:r>
      <w:r>
        <w:rPr>
          <w:rFonts w:hint="default" w:ascii="Times New Roman" w:hAnsi="Times New Roman" w:eastAsia="宋体" w:cs="Times New Roman"/>
          <w:b/>
          <w:color w:val="auto"/>
          <w:szCs w:val="21"/>
          <w:highlight w:val="none"/>
          <w:lang w:val="zh-CN"/>
        </w:rPr>
        <w:t xml:space="preserve">.响应文件的资格</w:t>
      </w:r>
      <w:r>
        <w:rPr>
          <w:rFonts w:hint="default" w:ascii="Times New Roman" w:hAnsi="Times New Roman" w:eastAsia="宋体" w:cs="Times New Roman"/>
          <w:b/>
          <w:color w:val="auto"/>
          <w:szCs w:val="21"/>
          <w:highlight w:val="none"/>
        </w:rPr>
        <w:t xml:space="preserve">姓和符合性</w:t>
      </w:r>
      <w:r>
        <w:rPr>
          <w:rFonts w:hint="default" w:ascii="Times New Roman" w:hAnsi="Times New Roman" w:eastAsia="宋体" w:cs="Times New Roman"/>
          <w:b/>
          <w:color w:val="auto"/>
          <w:szCs w:val="21"/>
          <w:highlight w:val="none"/>
          <w:lang w:val="zh-CN"/>
        </w:rPr>
        <w:t xml:space="preserve">审查</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25.1资格性审查：</w:t>
      </w:r>
      <w:r>
        <w:rPr>
          <w:rFonts w:hint="default" w:ascii="Times New Roman" w:hAnsi="Times New Roman" w:eastAsia="宋体" w:cs="Times New Roman"/>
          <w:color w:val="auto"/>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25.1.1响应文件有下列情况之一的，在资格性审查时按照无效投标处理：</w:t>
      </w:r>
      <w:r/>
    </w:p>
    <w:p>
      <w:pPr>
        <w:numPr>
          <w:ilvl w:val="0"/>
          <w:numId w:val="2"/>
        </w:numPr>
        <w:ind w:firstLine="420"/>
        <w:jc w:val="left"/>
        <w:spacing w:line="360" w:lineRule="auto"/>
        <w:tabs>
          <w:tab w:val="left" w:pos="4825" w:leader="none"/>
        </w:tabs>
        <w:rPr>
          <w:rFonts w:hint="default" w:ascii="Times New Roman" w:hAnsi="Times New Roman" w:eastAsia="宋体" w:cs="Times New Roman"/>
          <w:color w:val="auto"/>
          <w:szCs w:val="21"/>
          <w:highlight w:val="none"/>
        </w:rPr>
      </w:pPr>
      <w:r/>
      <w:bookmarkStart w:id="120" w:name="_Hlk81314966"/>
      <w:r>
        <w:rPr>
          <w:rFonts w:hint="default" w:ascii="Times New Roman" w:hAnsi="Times New Roman" w:eastAsia="宋体" w:cs="Times New Roman"/>
          <w:color w:val="auto"/>
          <w:szCs w:val="21"/>
          <w:highlight w:val="none"/>
        </w:rPr>
        <w:t xml:space="preserve">不具备采购文件中规定资格条件的；</w:t>
      </w:r>
      <w:bookmarkEnd w:id="120"/>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25.2符合性检查</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25.2.2实质性要求是指本竞争性磋商文件中用带星号（“*”）、（“★”）、“必须”或“应（应当）”等其他文字说明的商务和技术要求。</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25.2.3响应文件属下列情形之一的，按照无效响应处理：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（1）供应商在苏采云系统规定的时间内未成功解密电子响应文件；</w:t>
      </w:r>
      <w:r/>
    </w:p>
    <w:p>
      <w:pPr>
        <w:ind w:firstLine="420"/>
        <w:spacing w:line="360" w:lineRule="auto"/>
        <w:rPr>
          <w:rFonts w:hint="default" w:ascii="Times New Roman" w:hAnsi="Times New Roman" w:eastAsia="宋体" w:cs="Times New Roman"/>
          <w:color w:val="auto"/>
          <w:szCs w:val="21"/>
          <w:highlight w:val="none"/>
        </w:rPr>
      </w:pPr>
      <w:r/>
      <w:bookmarkStart w:id="121" w:name="OLE_LINK9"/>
      <w:r>
        <w:rPr>
          <w:rFonts w:hint="default" w:ascii="Times New Roman" w:hAnsi="Times New Roman" w:eastAsia="宋体" w:cs="Times New Roman"/>
          <w:color w:val="auto"/>
          <w:szCs w:val="21"/>
          <w:highlight w:val="none"/>
        </w:rPr>
        <w:t xml:space="preserve">（2）</w:t>
      </w:r>
      <w:bookmarkEnd w:id="121"/>
      <w:r>
        <w:rPr>
          <w:rFonts w:hint="default" w:ascii="Times New Roman" w:hAnsi="Times New Roman" w:eastAsia="宋体" w:cs="Times New Roman"/>
          <w:color w:val="auto"/>
          <w:szCs w:val="21"/>
          <w:highlight w:val="none"/>
        </w:rPr>
        <w:t xml:space="preserve">供应商未按照磋商文件要求上传电子响应文件；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（3）供应商在苏采云系统规定的时间内未提交二轮报价；</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 同一供应商提交两个（含两个）以上不同的响应文件或者最后报价。</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（5）投标总价超出采购项目预算或者最高限价的；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（6）不同供应商的响应文件由同一单位或者个人编制；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（7）不同供应商委托同一单位或者个人办理投标事宜；</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（8）不同供应商的MAC地址、标书制作工具客户端标识码一致的；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w:t>
      </w:r>
      <w:bookmarkStart w:id="122" w:name="OLE_LINK7"/>
      <w:r>
        <w:rPr>
          <w:rFonts w:hint="default" w:ascii="Times New Roman" w:hAnsi="Times New Roman" w:eastAsia="宋体" w:cs="Times New Roman"/>
          <w:color w:val="auto"/>
          <w:szCs w:val="21"/>
          <w:highlight w:val="none"/>
        </w:rPr>
        <w:t xml:space="preserve">不同供应商的响应文件载明的项目管理成员或者联系人员为同一人</w:t>
      </w:r>
      <w:bookmarkEnd w:id="122"/>
      <w:r>
        <w:rPr>
          <w:rFonts w:hint="default" w:ascii="Times New Roman" w:hAnsi="Times New Roman" w:eastAsia="宋体" w:cs="Times New Roman"/>
          <w:color w:val="auto"/>
          <w:szCs w:val="21"/>
          <w:highlight w:val="none"/>
        </w:rPr>
        <w:t xml:space="preserve">；</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（10）不同供应商的响应文件异常一致或者投标报价呈规律性差异；</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（11）不同供应商的负责人为同一人或者存在控股、管理关系的；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（13）响应文件含有采购人不能接受的附加条件的；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（14）不符合法律、法规和竞争性磋商文件规定的其他实质性要求的</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b/>
          <w:bCs/>
          <w:color w:val="auto"/>
          <w:szCs w:val="21"/>
          <w:highlight w:val="none"/>
        </w:rPr>
      </w:pPr>
      <w:r/>
      <w:bookmarkStart w:id="123" w:name="_Toc450643042"/>
      <w:r>
        <w:rPr>
          <w:rFonts w:hint="default" w:ascii="Times New Roman" w:hAnsi="Times New Roman" w:eastAsia="宋体" w:cs="Times New Roman"/>
          <w:b/>
          <w:color w:val="auto"/>
          <w:szCs w:val="21"/>
          <w:highlight w:val="none"/>
        </w:rPr>
        <w:t xml:space="preserve">25.3</w:t>
      </w:r>
      <w:r>
        <w:rPr>
          <w:rFonts w:hint="default" w:ascii="Times New Roman" w:hAnsi="Times New Roman" w:eastAsia="宋体" w:cs="Times New Roman"/>
          <w:b/>
          <w:bCs/>
          <w:color w:val="auto"/>
          <w:szCs w:val="21"/>
          <w:highlight w:val="none"/>
        </w:rPr>
        <w:t xml:space="preserve">出现下列情形之一的磋商终止，无成交供应商：</w:t>
      </w:r>
      <w:bookmarkEnd w:id="123"/>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（1）因情况变化，不再符合规定的竞争性磋商采购方式适用情形的；</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（2）出现影响采购公正的违法、违规行为的;</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（3）在苏采云系统规定时间内成功解密电子响应文件的供应商不足3家;</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w:t>
      </w:r>
      <w:r>
        <w:rPr>
          <w:rFonts w:hint="default" w:ascii="Times New Roman" w:hAnsi="Times New Roman" w:eastAsia="宋体" w:cs="Times New Roman"/>
          <w:bCs/>
          <w:color w:val="auto"/>
          <w:szCs w:val="21"/>
          <w:highlight w:val="none"/>
        </w:rPr>
        <w:t xml:space="preserve">4</w:t>
      </w:r>
      <w:r>
        <w:rPr>
          <w:rFonts w:hint="default" w:ascii="Times New Roman" w:hAnsi="Times New Roman" w:eastAsia="宋体" w:cs="Times New Roman"/>
          <w:bCs/>
          <w:color w:val="auto"/>
          <w:szCs w:val="21"/>
          <w:highlight w:val="none"/>
          <w:lang w:val="zh-CN"/>
        </w:rPr>
        <w:t xml:space="preserve">）法律法规规定的其他应当终止情形。</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25.4</w:t>
      </w:r>
      <w:r>
        <w:rPr>
          <w:rFonts w:hint="default" w:ascii="Times New Roman" w:hAnsi="Times New Roman" w:eastAsia="宋体" w:cs="Times New Roman"/>
          <w:bCs/>
          <w:color w:val="auto"/>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25.5</w:t>
      </w:r>
      <w:r>
        <w:rPr>
          <w:rFonts w:hint="default" w:ascii="Times New Roman" w:hAnsi="Times New Roman" w:eastAsia="宋体" w:cs="Times New Roman"/>
          <w:bCs/>
          <w:color w:val="auto"/>
          <w:szCs w:val="21"/>
          <w:highlight w:val="none"/>
          <w:lang w:val="zh-CN"/>
        </w:rPr>
        <w:t xml:space="preserve">供应商在项目评审全过程中应保持通讯畅通，及时登录苏采云系统查阅、答复相关信息，并安排专人与采购代理机构及磋商小组联系。</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26</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lang w:val="zh-CN"/>
        </w:rPr>
        <w:t xml:space="preserve">评分方法和标准。</w:t>
      </w:r>
      <w:r/>
    </w:p>
    <w:p>
      <w:pPr>
        <w:ind w:firstLine="420"/>
        <w:spacing w:line="360" w:lineRule="auto"/>
        <w:widowControl/>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.1 </w:t>
      </w:r>
      <w:r>
        <w:rPr>
          <w:rFonts w:hint="default" w:ascii="Times New Roman" w:hAnsi="Times New Roman" w:eastAsia="宋体" w:cs="Times New Roman"/>
          <w:color w:val="auto"/>
          <w:szCs w:val="21"/>
          <w:highlight w:val="none"/>
          <w:lang w:val="zh-CN"/>
        </w:rPr>
        <w:t xml:space="preserve">采用综合评分法。即</w:t>
      </w:r>
      <w:r>
        <w:rPr>
          <w:rFonts w:hint="default" w:ascii="Times New Roman" w:hAnsi="Times New Roman" w:eastAsia="宋体" w:cs="Times New Roman"/>
          <w:color w:val="auto"/>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.2 </w:t>
      </w:r>
      <w:r>
        <w:rPr>
          <w:rFonts w:hint="default" w:ascii="Times New Roman" w:hAnsi="Times New Roman" w:eastAsia="宋体" w:cs="Times New Roman"/>
          <w:color w:val="auto"/>
          <w:szCs w:val="21"/>
          <w:highlight w:val="none"/>
        </w:rPr>
        <w:t xml:space="preserve">综合评分的</w:t>
      </w:r>
      <w:r>
        <w:rPr>
          <w:rFonts w:hint="default" w:ascii="Times New Roman" w:hAnsi="Times New Roman" w:eastAsia="宋体" w:cs="Times New Roman"/>
          <w:color w:val="auto"/>
          <w:szCs w:val="21"/>
          <w:highlight w:val="none"/>
          <w:lang w:val="zh-CN"/>
        </w:rPr>
        <w:t xml:space="preserve">主要因素是：</w:t>
      </w:r>
      <w:r>
        <w:rPr>
          <w:rFonts w:hint="default" w:ascii="Times New Roman" w:hAnsi="Times New Roman" w:eastAsia="宋体" w:cs="Times New Roman"/>
          <w:b/>
          <w:color w:val="auto"/>
          <w:szCs w:val="21"/>
          <w:highlight w:val="none"/>
        </w:rPr>
        <w:t xml:space="preserve">价格、</w:t>
      </w:r>
      <w:r>
        <w:rPr>
          <w:rFonts w:hint="default" w:ascii="Times New Roman" w:hAnsi="Times New Roman" w:eastAsia="宋体" w:cs="Times New Roman"/>
          <w:b/>
          <w:bCs/>
          <w:color w:val="auto"/>
          <w:szCs w:val="21"/>
          <w:highlight w:val="none"/>
        </w:rPr>
        <w:t xml:space="preserve">服务方案、</w:t>
      </w:r>
      <w:bookmarkEnd w:id="119"/>
      <w:r>
        <w:rPr>
          <w:rFonts w:hint="default" w:ascii="Times New Roman" w:hAnsi="Times New Roman" w:eastAsia="宋体" w:cs="Times New Roman"/>
          <w:b/>
          <w:color w:val="auto"/>
          <w:szCs w:val="21"/>
          <w:highlight w:val="none"/>
        </w:rPr>
        <w:t xml:space="preserve">资信实力等。</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.3</w:t>
      </w:r>
      <w:r>
        <w:rPr>
          <w:rFonts w:hint="default" w:ascii="Times New Roman" w:hAnsi="Times New Roman" w:eastAsia="宋体" w:cs="Times New Roman"/>
          <w:b/>
          <w:color w:val="auto"/>
          <w:szCs w:val="21"/>
          <w:highlight w:val="none"/>
        </w:rPr>
        <w:t xml:space="preserve">评分标准详见第四章</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27</w:t>
      </w:r>
      <w:r>
        <w:rPr>
          <w:rFonts w:hint="default" w:ascii="Times New Roman" w:hAnsi="Times New Roman" w:eastAsia="宋体" w:cs="Times New Roman"/>
          <w:b/>
          <w:bCs/>
          <w:color w:val="auto"/>
          <w:szCs w:val="21"/>
          <w:highlight w:val="none"/>
          <w:lang w:val="zh-CN"/>
        </w:rPr>
        <w:t xml:space="preserve">、确定成交供应商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27</w:t>
      </w:r>
      <w:r>
        <w:rPr>
          <w:rFonts w:hint="default" w:ascii="Times New Roman" w:hAnsi="Times New Roman" w:eastAsia="宋体" w:cs="Times New Roman"/>
          <w:color w:val="auto"/>
          <w:szCs w:val="21"/>
          <w:highlight w:val="none"/>
          <w:lang w:val="zh-CN"/>
        </w:rPr>
        <w:t xml:space="preserve">.1综合比较与评价后按照得分高低顺序对供应商进行排列。</w:t>
      </w:r>
      <w:r>
        <w:rPr>
          <w:rFonts w:hint="default" w:ascii="Times New Roman" w:hAnsi="Times New Roman" w:eastAsia="宋体" w:cs="Times New Roman"/>
          <w:color w:val="auto"/>
          <w:szCs w:val="21"/>
          <w:highlight w:val="none"/>
        </w:rPr>
        <w:t xml:space="preserve">得分相同的，按磋商报价由低到高顺序排列。得分且磋商报价相同的，按技术指标优劣顺序排列。</w:t>
      </w:r>
      <w:r>
        <w:rPr>
          <w:rFonts w:hint="default" w:ascii="Times New Roman" w:hAnsi="Times New Roman" w:eastAsia="宋体" w:cs="Times New Roman"/>
          <w:b/>
          <w:bCs/>
          <w:color w:val="auto"/>
          <w:szCs w:val="21"/>
          <w:highlight w:val="none"/>
        </w:rPr>
        <w:t xml:space="preserve">综合排名第一名的供应商确定为成交供应商。</w:t>
      </w:r>
      <w:r>
        <w:rPr>
          <w:rFonts w:hint="default" w:ascii="Times New Roman" w:hAnsi="Times New Roman" w:eastAsia="宋体" w:cs="Times New Roman"/>
          <w:color w:val="auto"/>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28、成交通知书</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28.4</w:t>
      </w:r>
      <w:r>
        <w:rPr>
          <w:rFonts w:hint="default" w:ascii="Times New Roman" w:hAnsi="Times New Roman" w:eastAsia="宋体" w:cs="Times New Roman"/>
          <w:b/>
          <w:color w:val="auto"/>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default" w:ascii="Times New Roman" w:hAnsi="Times New Roman" w:eastAsia="宋体" w:cs="Times New Roman"/>
          <w:b/>
          <w:color w:val="auto"/>
          <w:highlight w:val="none"/>
        </w:rPr>
        <w:t xml:space="preserve">，并予以通报。</w:t>
      </w:r>
      <w:r/>
    </w:p>
    <w:p>
      <w:pPr>
        <w:ind w:firstLine="420"/>
        <w:spacing w:line="360" w:lineRule="auto"/>
        <w:tabs>
          <w:tab w:val="left" w:pos="126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28.5代理机构对未成交的供应商不作未成交原因的解释。</w:t>
      </w:r>
      <w:r/>
    </w:p>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24" w:name="_Toc3030"/>
      <w:r/>
      <w:bookmarkStart w:id="125" w:name="_Toc31660"/>
      <w:r/>
      <w:bookmarkStart w:id="126" w:name="_Toc10162"/>
      <w:r/>
      <w:bookmarkStart w:id="127" w:name="_Toc25414"/>
      <w:r/>
      <w:bookmarkStart w:id="128" w:name="_Toc16621"/>
      <w:r/>
      <w:bookmarkStart w:id="129" w:name="_Toc5114"/>
      <w:r/>
      <w:bookmarkStart w:id="130" w:name="_Toc8570"/>
      <w:r/>
      <w:bookmarkStart w:id="131" w:name="_Toc504141741"/>
      <w:r/>
      <w:bookmarkStart w:id="132" w:name="_Toc16285"/>
      <w:r/>
      <w:bookmarkStart w:id="133" w:name="_Toc22518"/>
      <w:r/>
      <w:bookmarkStart w:id="134" w:name="_Toc24954"/>
      <w:r/>
      <w:bookmarkStart w:id="135" w:name="_Toc21461"/>
      <w:r/>
      <w:bookmarkStart w:id="136" w:name="_Toc6205"/>
      <w:r/>
      <w:bookmarkStart w:id="137" w:name="_Toc5356"/>
      <w:r/>
      <w:bookmarkStart w:id="138" w:name="_Toc20289"/>
      <w:r/>
      <w:bookmarkStart w:id="139" w:name="_Toc8617"/>
      <w:r/>
      <w:bookmarkStart w:id="140" w:name="_Toc25215"/>
      <w:r/>
      <w:bookmarkStart w:id="141" w:name="_Toc22312"/>
      <w:r/>
      <w:bookmarkStart w:id="142" w:name="_Toc18338"/>
      <w:r/>
      <w:bookmarkStart w:id="143" w:name="_Toc5481"/>
      <w:r/>
      <w:bookmarkStart w:id="144" w:name="_Toc7428"/>
      <w:r/>
      <w:bookmarkStart w:id="145" w:name="_Toc30543"/>
      <w:r/>
      <w:bookmarkStart w:id="146" w:name="_Toc19082"/>
      <w:r/>
      <w:bookmarkStart w:id="147" w:name="_Toc10463"/>
      <w:r/>
      <w:bookmarkStart w:id="148" w:name="_Toc2456"/>
      <w:r/>
      <w:bookmarkStart w:id="149" w:name="_Toc1202"/>
      <w:r/>
      <w:bookmarkStart w:id="150" w:name="_Toc29157"/>
      <w:r/>
      <w:bookmarkStart w:id="151" w:name="_Toc5317"/>
      <w:r/>
      <w:bookmarkStart w:id="152" w:name="_Toc29768"/>
      <w:r>
        <w:rPr>
          <w:rFonts w:hint="default" w:ascii="Times New Roman" w:hAnsi="Times New Roman" w:eastAsia="宋体" w:cs="Times New Roman"/>
          <w:b/>
          <w:color w:val="auto"/>
          <w:szCs w:val="21"/>
          <w:highlight w:val="none"/>
        </w:rPr>
        <w:t xml:space="preserve">六</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lang w:val="zh-CN"/>
        </w:rPr>
        <w:t xml:space="preserve">签订合同</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29.签订合同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1 成交供应商应当</w:t>
      </w:r>
      <w:r>
        <w:rPr>
          <w:rFonts w:hint="default" w:ascii="Times New Roman" w:hAnsi="Times New Roman" w:eastAsia="宋体" w:cs="Times New Roman"/>
          <w:color w:val="auto"/>
          <w:szCs w:val="21"/>
          <w:highlight w:val="none"/>
          <w:lang w:val="zh-CN"/>
        </w:rPr>
        <w:t xml:space="preserve">自成交通知书发出之日起三十日内，</w:t>
      </w:r>
      <w:r>
        <w:rPr>
          <w:rFonts w:hint="default" w:ascii="Times New Roman" w:hAnsi="Times New Roman" w:eastAsia="宋体" w:cs="Times New Roman"/>
          <w:color w:val="auto"/>
          <w:szCs w:val="21"/>
          <w:highlight w:val="none"/>
        </w:rPr>
        <w:t xml:space="preserve">与采购人签订政府采购合同，所签订的合同不得对竞争性磋商文件和竞争性磋商响应文件作实质性修改。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.2 </w:t>
      </w:r>
      <w:r>
        <w:rPr>
          <w:rFonts w:hint="default" w:ascii="Times New Roman" w:hAnsi="Times New Roman" w:eastAsia="宋体" w:cs="Times New Roman"/>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53" w:name="_Toc27228"/>
      <w:r/>
      <w:bookmarkStart w:id="154" w:name="_Toc27633"/>
      <w:r/>
      <w:bookmarkStart w:id="155" w:name="_Toc19713"/>
      <w:r/>
      <w:bookmarkStart w:id="156" w:name="_Toc6436"/>
      <w:r/>
      <w:bookmarkStart w:id="157" w:name="_Toc20220"/>
      <w:r/>
      <w:bookmarkStart w:id="158" w:name="_Toc459106792"/>
      <w:r/>
      <w:bookmarkStart w:id="159" w:name="_Toc23900"/>
      <w:r/>
      <w:bookmarkStart w:id="160" w:name="_Toc30584"/>
      <w:r/>
      <w:bookmarkStart w:id="161" w:name="_Toc23022"/>
      <w:r/>
      <w:bookmarkStart w:id="162" w:name="_Toc21358"/>
      <w:r/>
      <w:bookmarkStart w:id="163" w:name="_Toc24468"/>
      <w:r/>
      <w:bookmarkStart w:id="164" w:name="_Toc27584"/>
      <w:r/>
      <w:bookmarkStart w:id="165" w:name="_Toc450643046"/>
      <w:r/>
      <w:bookmarkStart w:id="166" w:name="_Toc21581"/>
      <w:r/>
      <w:bookmarkStart w:id="167" w:name="_Toc29248"/>
      <w:r/>
      <w:bookmarkStart w:id="168" w:name="_Toc5234"/>
      <w:r/>
      <w:bookmarkStart w:id="169" w:name="_Toc5437"/>
      <w:r/>
      <w:bookmarkStart w:id="170" w:name="_Toc504141742"/>
      <w:r/>
      <w:bookmarkStart w:id="171" w:name="_Toc12199"/>
      <w:r/>
      <w:bookmarkStart w:id="172" w:name="_Toc17911"/>
      <w:r/>
      <w:bookmarkStart w:id="173" w:name="_Toc5637"/>
      <w:r/>
      <w:bookmarkStart w:id="174" w:name="_Toc3731"/>
      <w:r/>
      <w:bookmarkStart w:id="175" w:name="_Toc3565"/>
      <w:r/>
      <w:bookmarkStart w:id="176" w:name="_Toc21561"/>
      <w:r/>
      <w:bookmarkStart w:id="177" w:name="_Toc27223"/>
      <w:r/>
      <w:bookmarkStart w:id="178" w:name="_Toc18390"/>
      <w:r/>
      <w:bookmarkStart w:id="179" w:name="_Toc7552"/>
      <w:r/>
      <w:bookmarkStart w:id="180" w:name="_Toc25910"/>
      <w:r/>
      <w:bookmarkStart w:id="181" w:name="_Toc15305"/>
      <w:r/>
      <w:bookmarkStart w:id="182" w:name="_Toc7999"/>
      <w:r/>
      <w:bookmarkStart w:id="183" w:name="_Toc24231"/>
      <w:r/>
      <w:bookmarkStart w:id="184" w:name="_Toc8572"/>
      <w:r>
        <w:rPr>
          <w:rFonts w:hint="default" w:ascii="Times New Roman" w:hAnsi="Times New Roman" w:eastAsia="宋体" w:cs="Times New Roman"/>
          <w:b/>
          <w:bCs/>
          <w:color w:val="auto"/>
          <w:szCs w:val="21"/>
          <w:highlight w:val="none"/>
        </w:rPr>
        <w:t xml:space="preserve">七</w:t>
      </w:r>
      <w:r>
        <w:rPr>
          <w:rFonts w:hint="default" w:ascii="Times New Roman" w:hAnsi="Times New Roman" w:eastAsia="宋体" w:cs="Times New Roman"/>
          <w:b/>
          <w:bCs/>
          <w:color w:val="auto"/>
          <w:szCs w:val="21"/>
          <w:highlight w:val="none"/>
          <w:lang w:val="zh-CN"/>
        </w:rPr>
        <w:t xml:space="preserve">、质疑、投诉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30</w:t>
      </w:r>
      <w:r>
        <w:rPr>
          <w:rFonts w:hint="default" w:ascii="Times New Roman" w:hAnsi="Times New Roman" w:eastAsia="宋体" w:cs="Times New Roman"/>
          <w:b/>
          <w:bCs/>
          <w:color w:val="auto"/>
          <w:szCs w:val="21"/>
          <w:highlight w:val="none"/>
          <w:lang w:val="zh-CN"/>
        </w:rPr>
        <w:t xml:space="preserve">、质疑</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30.3 </w:t>
      </w:r>
      <w:r>
        <w:rPr>
          <w:rFonts w:hint="default" w:ascii="Times New Roman" w:hAnsi="Times New Roman" w:eastAsia="宋体" w:cs="Times New Roman"/>
          <w:color w:val="auto"/>
          <w:szCs w:val="21"/>
          <w:highlight w:val="none"/>
          <w:lang w:val="zh-CN"/>
        </w:rPr>
        <w:t xml:space="preserve">质疑文件应包括以下主要内容，并</w:t>
      </w:r>
      <w:r>
        <w:rPr>
          <w:rFonts w:hint="default" w:ascii="Times New Roman" w:hAnsi="Times New Roman" w:eastAsia="宋体" w:cs="Times New Roman"/>
          <w:color w:val="auto"/>
          <w:szCs w:val="21"/>
          <w:highlight w:val="none"/>
        </w:rPr>
        <w:t xml:space="preserve">按照“谁主张、谁举证”的原则，附上相关证明材料。否则，代理机构不予受理：</w:t>
      </w:r>
      <w:r/>
    </w:p>
    <w:p>
      <w:pPr>
        <w:ind w:left="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（1）质疑项目名称、项目编号、包号、磋商公告发布时间、磋商时间；</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（2）具体的质疑事项及法律依据（具体条款）；</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default" w:ascii="Times New Roman" w:hAnsi="Times New Roman" w:eastAsia="宋体" w:cs="Times New Roman"/>
          <w:color w:val="auto"/>
          <w:szCs w:val="21"/>
          <w:highlight w:val="none"/>
        </w:rPr>
        <w:t xml:space="preserve">供应商全部产品线中没有满足技术需求要求的产品才可以对采购产品提出质疑，并提出</w:t>
      </w:r>
      <w:r>
        <w:rPr>
          <w:rFonts w:hint="default" w:ascii="Times New Roman" w:hAnsi="Times New Roman" w:eastAsia="宋体" w:cs="Times New Roman"/>
          <w:b/>
          <w:bCs/>
          <w:color w:val="auto"/>
          <w:szCs w:val="21"/>
          <w:highlight w:val="none"/>
        </w:rPr>
        <w:t xml:space="preserve">修改理由</w:t>
      </w:r>
      <w:r>
        <w:rPr>
          <w:rFonts w:hint="default" w:ascii="Times New Roman" w:hAnsi="Times New Roman" w:eastAsia="宋体" w:cs="Times New Roman"/>
          <w:color w:val="auto"/>
          <w:szCs w:val="21"/>
          <w:highlight w:val="none"/>
        </w:rPr>
        <w:t xml:space="preserve">和</w:t>
      </w:r>
      <w:r>
        <w:rPr>
          <w:rFonts w:hint="default" w:ascii="Times New Roman" w:hAnsi="Times New Roman" w:eastAsia="宋体" w:cs="Times New Roman"/>
          <w:b/>
          <w:bCs/>
          <w:color w:val="auto"/>
          <w:szCs w:val="21"/>
          <w:highlight w:val="none"/>
        </w:rPr>
        <w:t xml:space="preserve">修改建议</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（4）质疑供应商名称、地址、</w:t>
      </w:r>
      <w:r>
        <w:rPr>
          <w:rFonts w:hint="default" w:ascii="Times New Roman" w:hAnsi="Times New Roman" w:eastAsia="宋体" w:cs="Times New Roman"/>
          <w:color w:val="auto"/>
          <w:highlight w:val="none"/>
          <w:lang w:val="zh-CN"/>
        </w:rPr>
        <w:t xml:space="preserve">邮编、联系人、</w:t>
      </w:r>
      <w:r>
        <w:rPr>
          <w:rFonts w:hint="default" w:ascii="Times New Roman" w:hAnsi="Times New Roman" w:eastAsia="宋体" w:cs="Times New Roman"/>
          <w:color w:val="auto"/>
          <w:szCs w:val="21"/>
          <w:highlight w:val="none"/>
          <w:lang w:val="zh-CN"/>
        </w:rPr>
        <w:t xml:space="preserve">联系方式</w:t>
      </w:r>
      <w:r>
        <w:rPr>
          <w:rFonts w:hint="default" w:ascii="Times New Roman" w:hAnsi="Times New Roman" w:eastAsia="宋体" w:cs="Times New Roman"/>
          <w:color w:val="auto"/>
          <w:szCs w:val="21"/>
          <w:highlight w:val="none"/>
        </w:rPr>
        <w:t xml:space="preserve">（包括手机、传真号码）</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 xml:space="preserve">（6）供应商委托代理质疑的，应当向被质疑人提交授权委托书，并载明委托代理的具体权限和事项，</w:t>
      </w:r>
      <w:r>
        <w:rPr>
          <w:rFonts w:hint="default" w:ascii="Times New Roman" w:hAnsi="Times New Roman" w:eastAsia="宋体" w:cs="Times New Roman"/>
          <w:color w:val="auto"/>
          <w:szCs w:val="21"/>
          <w:highlight w:val="none"/>
        </w:rPr>
        <w:t xml:space="preserve">并加盖单位公章</w:t>
      </w:r>
      <w:r>
        <w:rPr>
          <w:rFonts w:hint="default" w:ascii="Times New Roman" w:hAnsi="Times New Roman" w:eastAsia="宋体" w:cs="Times New Roman"/>
          <w:color w:val="auto"/>
          <w:highlight w:val="none"/>
          <w:lang w:val="zh-CN"/>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5</w:t>
      </w:r>
      <w:r>
        <w:rPr>
          <w:rFonts w:hint="default" w:ascii="Times New Roman" w:hAnsi="Times New Roman" w:eastAsia="宋体" w:cs="Times New Roman"/>
          <w:color w:val="auto"/>
          <w:highlight w:val="none"/>
          <w:lang w:val="zh-CN"/>
        </w:rPr>
        <w:t xml:space="preserve"> 质疑</w:t>
      </w:r>
      <w:r>
        <w:rPr>
          <w:rFonts w:hint="default" w:ascii="Times New Roman" w:hAnsi="Times New Roman" w:eastAsia="宋体" w:cs="Times New Roman"/>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30.6 代理机构在收到供应商的书面质疑后将及时组织调查核实，在</w:t>
      </w:r>
      <w:r>
        <w:rPr>
          <w:rFonts w:hint="default" w:ascii="Times New Roman" w:hAnsi="Times New Roman" w:eastAsia="宋体" w:cs="Times New Roman"/>
          <w:b/>
          <w:bCs/>
          <w:color w:val="auto"/>
          <w:szCs w:val="21"/>
          <w:highlight w:val="none"/>
          <w:lang w:val="zh-CN"/>
        </w:rPr>
        <w:t xml:space="preserve">七个工作日内</w:t>
      </w:r>
      <w:r>
        <w:rPr>
          <w:rFonts w:hint="default" w:ascii="Times New Roman" w:hAnsi="Times New Roman" w:eastAsia="宋体" w:cs="Times New Roman"/>
          <w:color w:val="auto"/>
          <w:szCs w:val="21"/>
          <w:highlight w:val="none"/>
          <w:lang w:val="zh-CN"/>
        </w:rPr>
        <w:t xml:space="preserve">作出答复，并以书面或在网站公告形式通知质疑供应商和其他有关供应商，答复的内容不涉及商业秘密。</w:t>
      </w:r>
      <w:r>
        <w:rPr>
          <w:rFonts w:hint="default" w:ascii="Times New Roman" w:hAnsi="Times New Roman" w:eastAsia="宋体" w:cs="Times New Roman"/>
          <w:color w:val="auto"/>
          <w:szCs w:val="21"/>
          <w:highlight w:val="none"/>
        </w:rPr>
        <w:t xml:space="preserve">代理机构遵循“谁过错谁负担”的原则，有过错的一方承担调查论证费用。</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31</w:t>
      </w:r>
      <w:r>
        <w:rPr>
          <w:rFonts w:hint="default" w:ascii="Times New Roman" w:hAnsi="Times New Roman" w:eastAsia="宋体" w:cs="Times New Roman"/>
          <w:b/>
          <w:bCs/>
          <w:color w:val="auto"/>
          <w:szCs w:val="21"/>
          <w:highlight w:val="none"/>
          <w:lang w:val="zh-CN"/>
        </w:rPr>
        <w:t xml:space="preserve">、投诉</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zh-CN"/>
        </w:rPr>
        <w:t xml:space="preserve">质疑供应商对代理机构的答复不满意，或代理机构未在规定的时间内作出答复的，可以在答复期满后</w:t>
      </w:r>
      <w:r>
        <w:rPr>
          <w:rFonts w:hint="default" w:ascii="Times New Roman" w:hAnsi="Times New Roman" w:eastAsia="宋体" w:cs="Times New Roman"/>
          <w:b/>
          <w:bCs/>
          <w:color w:val="auto"/>
          <w:szCs w:val="21"/>
          <w:highlight w:val="none"/>
          <w:lang w:val="zh-CN"/>
        </w:rPr>
        <w:t xml:space="preserve">十五个工作日内</w:t>
      </w:r>
      <w:r>
        <w:rPr>
          <w:rFonts w:hint="default" w:ascii="Times New Roman" w:hAnsi="Times New Roman" w:eastAsia="宋体" w:cs="Times New Roman"/>
          <w:color w:val="auto"/>
          <w:szCs w:val="21"/>
          <w:highlight w:val="none"/>
          <w:lang w:val="zh-CN"/>
        </w:rPr>
        <w:t xml:space="preserve">向同级财政部门投诉。</w:t>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pStyle w:val="802"/>
        <w:numPr>
          <w:ilvl w:val="0"/>
          <w:numId w:val="3"/>
        </w:numPr>
        <w:ind w:left="0" w:right="314"/>
        <w:spacing w:before="39"/>
        <w:rPr>
          <w:rFonts w:hint="default" w:ascii="Times New Roman" w:hAnsi="Times New Roman" w:eastAsia="宋体" w:cs="Times New Roman"/>
          <w:b/>
          <w:bCs/>
          <w:color w:val="auto"/>
          <w:sz w:val="36"/>
          <w:szCs w:val="22"/>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425" w:equalWidth="1"/>
          <w:docGrid w:linePitch="360"/>
        </w:sectPr>
      </w:pPr>
      <w:r/>
      <w:bookmarkStart w:id="185" w:name="_bookmark10"/>
      <w:r/>
      <w:bookmarkEnd w:id="185"/>
      <w:r/>
      <w:bookmarkStart w:id="186" w:name="第三章_磋商项目需求"/>
      <w:r/>
      <w:bookmarkEnd w:id="186"/>
      <w:r/>
      <w:r/>
    </w:p>
    <w:p>
      <w:pPr>
        <w:pStyle w:val="802"/>
        <w:numPr>
          <w:ilvl w:val="0"/>
          <w:numId w:val="3"/>
        </w:numPr>
        <w:ind w:left="0" w:right="314"/>
        <w:spacing w:before="39"/>
        <w:rPr>
          <w:rFonts w:hint="default" w:ascii="Times New Roman" w:hAnsi="Times New Roman" w:eastAsia="宋体" w:cs="Times New Roman"/>
          <w:b/>
          <w:bCs/>
          <w:color w:val="auto"/>
          <w:sz w:val="36"/>
          <w:szCs w:val="22"/>
          <w:highlight w:val="none"/>
        </w:rPr>
      </w:pPr>
      <w:r>
        <w:rPr>
          <w:rFonts w:hint="default" w:ascii="Times New Roman" w:hAnsi="Times New Roman" w:eastAsia="宋体" w:cs="Times New Roman"/>
          <w:b/>
          <w:bCs/>
          <w:color w:val="auto"/>
          <w:sz w:val="36"/>
          <w:szCs w:val="22"/>
          <w:highlight w:val="none"/>
          <w:lang w:val="en-US"/>
        </w:rPr>
        <w:t xml:space="preserve"> </w:t>
      </w:r>
      <w:bookmarkStart w:id="187" w:name="_Toc5961"/>
      <w:r/>
      <w:bookmarkStart w:id="188" w:name="_Toc16758_WPSOffice_Level1"/>
      <w:r/>
      <w:bookmarkStart w:id="189" w:name="_Toc11704"/>
      <w:r>
        <w:rPr>
          <w:rFonts w:hint="default" w:ascii="Times New Roman" w:hAnsi="Times New Roman" w:eastAsia="宋体" w:cs="Times New Roman"/>
          <w:b/>
          <w:bCs/>
          <w:color w:val="auto"/>
          <w:sz w:val="36"/>
          <w:szCs w:val="22"/>
          <w:highlight w:val="none"/>
        </w:rPr>
        <w:t xml:space="preserve">磋商项目需求</w:t>
      </w:r>
      <w:bookmarkEnd w:id="187"/>
      <w:r/>
      <w:bookmarkEnd w:id="188"/>
      <w:r/>
      <w:bookmarkEnd w:id="189"/>
      <w:r/>
      <w:r/>
    </w:p>
    <w:p>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bookmarkStart w:id="190" w:name="_Hlt460313661"/>
      <w:r/>
      <w:bookmarkEnd w:id="190"/>
      <w:r/>
      <w:bookmarkStart w:id="191" w:name="_Hlt460313659"/>
      <w:r/>
      <w:bookmarkEnd w:id="191"/>
      <w:r/>
      <w:bookmarkStart w:id="192" w:name="_Toc24969"/>
      <w:r/>
      <w:bookmarkStart w:id="193" w:name="_Toc20444"/>
      <w:r/>
      <w:bookmarkStart w:id="194" w:name="_Toc26553"/>
      <w:r>
        <w:rPr>
          <w:rFonts w:hint="eastAsia" w:ascii="宋体" w:hAnsi="宋体" w:eastAsia="宋体" w:cs="宋体"/>
          <w:b/>
          <w:bCs/>
          <w:color w:val="auto"/>
          <w:sz w:val="24"/>
          <w:szCs w:val="24"/>
          <w:highlight w:val="none"/>
          <w:lang w:val="en-US" w:eastAsia="zh-CN"/>
        </w:rPr>
        <w:t xml:space="preserve">一、项目概况</w:t>
      </w:r>
      <w:bookmarkEnd w:id="192"/>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本项目工作内容：</w:t>
      </w:r>
      <w:r>
        <w:rPr>
          <w:rFonts w:hint="eastAsia" w:ascii="宋体" w:hAnsi="宋体" w:cs="宋体"/>
          <w:sz w:val="24"/>
          <w:highlight w:val="none"/>
        </w:rPr>
        <w:t xml:space="preserve">根据《国家林业和草原局生物灾害防控中心关于组织开展松树钻蛀类害虫系统调查的通知》（防控发〔2025〕9号）、《江苏省林业有害生物防治检疫站关于组织开展全省松树钻蛀类害虫系统调查的通知》（苏检防〔2025〕4号）和《省林业局办公室关于做好2025年全省松材线虫病秋季疫情普查工作的通知 》（苏林办检〔2025〕3号）文件要求，特组织开展江宁区松树钻蛀类害虫系统调查工作，系统查明松树钻蛀类害虫发生分布情况，评估主要危害种类灾害损失、发生趋势及潜在风险。</w:t>
      </w:r>
      <w:r/>
    </w:p>
    <w:p>
      <w:pPr>
        <w:numPr>
          <w:ilvl w:val="0"/>
          <w:numId w:val="4"/>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bookmarkStart w:id="195" w:name="_Toc22929"/>
      <w:r>
        <w:rPr>
          <w:rFonts w:hint="eastAsia" w:ascii="宋体" w:hAnsi="宋体" w:eastAsia="宋体" w:cs="宋体"/>
          <w:b/>
          <w:bCs/>
          <w:color w:val="auto"/>
          <w:sz w:val="24"/>
          <w:szCs w:val="24"/>
          <w:highlight w:val="none"/>
          <w:lang w:val="en-US" w:eastAsia="zh-CN"/>
        </w:rPr>
        <w:t xml:space="preserve">服务内容及要求</w:t>
      </w:r>
      <w:bookmarkEnd w:id="195"/>
      <w:r/>
      <w:bookmarkStart w:id="196" w:name="_Toc21060"/>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根据上级文件要求执行。符合现行国家、地方性、行业性等相关规范和要求。</w:t>
      </w:r>
      <w:r/>
    </w:p>
    <w:p>
      <w:pPr>
        <w:jc w:val="left"/>
        <w:keepLines w:val="0"/>
        <w:keepNext w:val="0"/>
        <w:pageBreakBefore w:val="0"/>
        <w:spacing w:line="360" w:lineRule="auto"/>
        <w:widowControl w:val="off"/>
        <w:rPr>
          <w:rFonts w:hint="eastAsia" w:ascii="宋体" w:hAnsi="宋体" w:cs="宋体"/>
          <w:sz w:val="24"/>
          <w:highlight w:val="none"/>
        </w:rPr>
        <w:outlineLvl w:val="1"/>
      </w:pPr>
      <w:r>
        <w:rPr>
          <w:rFonts w:hint="eastAsia" w:ascii="宋体" w:hAnsi="宋体" w:cs="宋体"/>
          <w:sz w:val="24"/>
          <w:highlight w:val="none"/>
        </w:rPr>
        <w:t xml:space="preserve">按照《江苏省松树钻蛀类害虫系统调查技术方案》要求组织开展外业调查，同步制作实物标本，所有调查数据信息均通过松材线虫病疫情防控监管平台及其手机端 APP 中的“蛀干害虫监测”功能模块进行采集和上报。</w:t>
      </w:r>
      <w:r/>
    </w:p>
    <w:p>
      <w:pPr>
        <w:pStyle w:val="814"/>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1.松林健康情况踏查。对11.98万亩松林任务小班进行踏查，查明松林健康情况。所有小班需用国家林业和草原局松材线虫病疫情防控监管平台“线虫防控”APP现场采集、填报调查数据。</w:t>
      </w:r>
      <w:r/>
    </w:p>
    <w:p>
      <w:pPr>
        <w:pStyle w:val="814"/>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2.标准小班调查。在踏查基础上，详细调查50个不健康标准小班。每个小班进行发生程度调查、剥皮调查、伐木解析、罩网调查和球果调查。调查统一用“线虫防控”APP现场采集、填报调查数据。</w:t>
      </w:r>
      <w:r/>
    </w:p>
    <w:p>
      <w:pPr>
        <w:pStyle w:val="814"/>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3.采集制作标本。进行标本采集、物种鉴定及标本整理和制作。</w:t>
      </w:r>
      <w:r/>
    </w:p>
    <w:p>
      <w:pPr>
        <w:pStyle w:val="814"/>
        <w:spacing w:line="420" w:lineRule="exact"/>
        <w:rPr>
          <w:rFonts w:ascii="宋体" w:hAnsi="宋体" w:cs="宋体"/>
          <w:sz w:val="24"/>
          <w:szCs w:val="24"/>
          <w:highlight w:val="none"/>
        </w:rPr>
      </w:pPr>
      <w:r>
        <w:rPr>
          <w:rFonts w:hint="eastAsia" w:ascii="宋体" w:hAnsi="宋体" w:cs="宋体"/>
          <w:sz w:val="24"/>
          <w:szCs w:val="24"/>
          <w:highlight w:val="none"/>
        </w:rPr>
        <w:t xml:space="preserve">4.成果汇编。完成调查成果审核、汇总编撰技术报告、工作报告。</w:t>
      </w:r>
      <w:r/>
    </w:p>
    <w:p>
      <w:pPr>
        <w:jc w:val="left"/>
        <w:keepLines w:val="0"/>
        <w:keepNext w:val="0"/>
        <w:pageBreakBefore w:val="0"/>
        <w:spacing w:line="360" w:lineRule="auto"/>
        <w:widowControl w:val="off"/>
        <w:rPr>
          <w:rFonts w:ascii="宋体" w:hAnsi="宋体" w:cs="宋体"/>
          <w:sz w:val="24"/>
          <w:highlight w:val="none"/>
        </w:rPr>
        <w:outlineLvl w:val="1"/>
      </w:pPr>
      <w:r>
        <w:rPr>
          <w:rFonts w:hint="eastAsia" w:ascii="宋体" w:hAnsi="宋体" w:eastAsia="宋体" w:cs="宋体"/>
          <w:b/>
          <w:bCs/>
          <w:color w:val="auto"/>
          <w:sz w:val="24"/>
          <w:szCs w:val="24"/>
          <w:highlight w:val="none"/>
          <w:lang w:val="en-US" w:eastAsia="zh-CN"/>
        </w:rPr>
        <w:t xml:space="preserve">三、成果要求：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1.完成国家林业和草原局松材线虫病疫情防控监管平台数据填报和成果审核。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2.编撰项目技术报告、工作报告。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3.提交项目过程影像资料。</w:t>
      </w:r>
      <w:r/>
    </w:p>
    <w:p>
      <w:pPr>
        <w:ind w:firstLine="482"/>
        <w:jc w:val="left"/>
        <w:keepLines w:val="0"/>
        <w:keepNext w:val="0"/>
        <w:pageBreakBefore w:val="0"/>
        <w:spacing w:line="360" w:lineRule="auto"/>
        <w:widowControl w:val="off"/>
        <w:rPr>
          <w:rFonts w:hint="eastAsia" w:ascii="宋体" w:hAnsi="宋体" w:cs="宋体"/>
          <w:sz w:val="24"/>
          <w:highlight w:val="none"/>
        </w:rPr>
        <w:outlineLvl w:val="9"/>
      </w:pPr>
      <w:r>
        <w:rPr>
          <w:rFonts w:hint="eastAsia" w:ascii="宋体" w:hAnsi="宋体" w:cs="宋体"/>
          <w:sz w:val="24"/>
          <w:highlight w:val="none"/>
        </w:rPr>
        <w:t xml:space="preserve">4.提交实物标本。</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bookmarkStart w:id="197" w:name="_Toc18261"/>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项目服务周期</w:t>
      </w:r>
      <w:bookmarkEnd w:id="196"/>
      <w:r/>
      <w:bookmarkEnd w:id="197"/>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bidi="ar"/>
        </w:rPr>
        <w:t xml:space="preserve">1年，2025年12月至2026年11月。</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bookmarkStart w:id="198" w:name="_Toc10401"/>
      <w:r>
        <w:rPr>
          <w:rFonts w:hint="eastAsia" w:ascii="宋体" w:hAnsi="宋体" w:eastAsia="宋体" w:cs="宋体"/>
          <w:b/>
          <w:bCs/>
          <w:color w:val="auto"/>
          <w:sz w:val="24"/>
          <w:szCs w:val="24"/>
          <w:highlight w:val="none"/>
          <w:lang w:val="en-US" w:eastAsia="zh-CN"/>
        </w:rPr>
        <w:t xml:space="preserve">四、</w:t>
      </w:r>
      <w:bookmarkEnd w:id="198"/>
      <w:r>
        <w:rPr>
          <w:rFonts w:hint="eastAsia" w:ascii="宋体" w:hAnsi="宋体" w:eastAsia="宋体" w:cs="宋体"/>
          <w:b/>
          <w:bCs/>
          <w:color w:val="auto"/>
          <w:sz w:val="24"/>
          <w:szCs w:val="24"/>
          <w:highlight w:val="none"/>
          <w:lang w:val="en-US" w:eastAsia="zh-CN"/>
        </w:rPr>
        <w:t xml:space="preserve">付款方式及考核机制</w:t>
      </w:r>
      <w:bookmarkEnd w:id="193"/>
      <w:r/>
      <w:bookmarkEnd w:id="194"/>
      <w:r/>
      <w:r/>
    </w:p>
    <w:p>
      <w:pPr>
        <w:ind w:firstLine="480"/>
        <w:spacing w:line="360"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1、项目清理结束后由跟踪审计单位出具工作量审核清单，经区农业农村局审核确认后付合同款的50%；</w:t>
      </w:r>
      <w:r/>
    </w:p>
    <w:p>
      <w:pPr>
        <w:ind w:firstLine="480"/>
        <w:spacing w:line="360"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2、项目审计合格出具跟踪审计报告后付清余款。</w:t>
      </w:r>
      <w:r/>
    </w:p>
    <w:p>
      <w:pPr>
        <w:pStyle w:val="1005"/>
        <w:ind w:left="0" w:firstLine="422"/>
        <w:keepLines w:val="0"/>
        <w:keepNext w:val="0"/>
        <w:pageBreakBefore w:val="0"/>
        <w:widowControl w:val="off"/>
        <w:rPr>
          <w:rFonts w:hint="eastAsia" w:eastAsia="宋体"/>
          <w:highlight w:val="none"/>
          <w:lang w:val="en-US" w:eastAsia="zh-CN"/>
        </w:rPr>
      </w:pPr>
      <w:r>
        <w:rPr>
          <w:rFonts w:hint="eastAsia" w:ascii="Times New Roman" w:hAnsi="Times New Roman" w:cs="Times New Roman"/>
          <w:b/>
          <w:color w:val="auto"/>
          <w:sz w:val="21"/>
          <w:highlight w:val="none"/>
          <w:lang w:val="en-US" w:eastAsia="zh-CN"/>
        </w:rPr>
        <w:t xml:space="preserve">3、采购人根据中标单位汇报成果组织考核验收。</w:t>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268" w:right="313"/>
        <w:jc w:val="center"/>
        <w:spacing w:before="20"/>
        <w:rPr>
          <w:rFonts w:hint="default" w:ascii="Times New Roman" w:hAnsi="Times New Roman" w:eastAsia="宋体" w:cs="Times New Roman"/>
          <w:b/>
          <w:bCs/>
          <w:color w:val="auto"/>
          <w:sz w:val="36"/>
          <w:szCs w:val="36"/>
          <w:highlight w:val="none"/>
        </w:rPr>
        <w:sectPr>
          <w:footnotePr/>
          <w:endnotePr/>
          <w:type w:val="nextPage"/>
          <w:pgSz w:w="11900" w:h="16840" w:orient="portrait"/>
          <w:pgMar w:top="1429" w:right="1417" w:bottom="1066" w:left="1417" w:header="765" w:footer="720" w:gutter="0"/>
          <w:cols w:num="1" w:sep="0" w:space="425" w:equalWidth="1"/>
          <w:docGrid w:linePitch="360"/>
        </w:sectPr>
        <w:outlineLvl w:val="0"/>
      </w:pPr>
      <w:r/>
      <w:bookmarkStart w:id="199" w:name="第四章_评分标准"/>
      <w:r/>
      <w:bookmarkEnd w:id="199"/>
      <w:r/>
      <w:bookmarkStart w:id="200" w:name="_Toc10732"/>
      <w:r/>
      <w:bookmarkStart w:id="201" w:name="_Toc25095"/>
      <w:r/>
      <w:bookmarkStart w:id="202" w:name="_Toc10389_WPSOffice_Level1"/>
      <w:r/>
      <w:r/>
    </w:p>
    <w:p>
      <w:pPr>
        <w:ind w:left="268" w:right="313"/>
        <w:jc w:val="center"/>
        <w:spacing w:before="20"/>
        <w:rPr>
          <w:rFonts w:hint="default" w:ascii="Times New Roman" w:hAnsi="Times New Roman" w:eastAsia="宋体" w:cs="Times New Roman"/>
          <w:b/>
          <w:bCs/>
          <w:color w:val="auto"/>
          <w:sz w:val="36"/>
          <w:highlight w:val="none"/>
        </w:rPr>
        <w:outlineLvl w:val="0"/>
      </w:pPr>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四</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highlight w:val="none"/>
        </w:rPr>
        <w:t xml:space="preserve">评分标准</w:t>
      </w:r>
      <w:bookmarkEnd w:id="200"/>
      <w:r/>
      <w:bookmarkEnd w:id="201"/>
      <w:r/>
      <w:bookmarkEnd w:id="202"/>
      <w:r/>
      <w:r/>
    </w:p>
    <w:p>
      <w:pPr>
        <w:spacing w:before="120" w:after="120" w:line="264" w:lineRule="auto"/>
        <w:rPr>
          <w:rFonts w:hint="default" w:ascii="Times New Roman" w:hAnsi="Times New Roman" w:eastAsia="宋体" w:cs="Times New Roman"/>
          <w:bCs/>
          <w:color w:val="auto"/>
          <w:sz w:val="24"/>
          <w:szCs w:val="24"/>
          <w:highlight w:val="none"/>
        </w:rPr>
        <w:outlineLvl w:val="1"/>
      </w:pPr>
      <w:r>
        <w:rPr>
          <w:rFonts w:hint="default" w:ascii="Times New Roman" w:hAnsi="Times New Roman" w:eastAsia="宋体" w:cs="Times New Roman"/>
          <w:bCs/>
          <w:color w:val="auto"/>
          <w:sz w:val="24"/>
          <w:szCs w:val="24"/>
          <w:highlight w:val="none"/>
        </w:rPr>
        <w:t xml:space="preserve">一、评审方法</w:t>
      </w:r>
      <w:r/>
    </w:p>
    <w:p>
      <w:pPr>
        <w:ind w:firstLine="422"/>
        <w:spacing w:line="36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24"/>
          <w:szCs w:val="24"/>
          <w:highlight w:val="none"/>
          <w:lang w:eastAsia="zh-CN"/>
        </w:rPr>
        <w:t xml:space="preserve">本次采购评标采用综合评分法。综合评分法是指在满足采购文件实质性要求前提下，按照采购文件中规定的各项因素进行综合评审后，以总得分</w:t>
      </w:r>
      <w:r>
        <w:rPr>
          <w:rFonts w:hint="eastAsia" w:ascii="宋体" w:hAnsi="宋体" w:eastAsia="宋体" w:cs="宋体"/>
          <w:b w:val="0"/>
          <w:bCs w:val="0"/>
          <w:color w:val="auto"/>
          <w:sz w:val="24"/>
          <w:szCs w:val="24"/>
          <w:highlight w:val="none"/>
          <w:lang w:val="en-US" w:eastAsia="zh-CN"/>
        </w:rPr>
        <w:t xml:space="preserve">最高的投标人</w:t>
      </w:r>
      <w:r>
        <w:rPr>
          <w:rFonts w:hint="eastAsia" w:ascii="宋体" w:hAnsi="宋体" w:eastAsia="宋体" w:cs="宋体"/>
          <w:b w:val="0"/>
          <w:bCs w:val="0"/>
          <w:color w:val="auto"/>
          <w:sz w:val="24"/>
          <w:szCs w:val="24"/>
          <w:highlight w:val="none"/>
          <w:lang w:eastAsia="zh-CN"/>
        </w:rPr>
        <w:t xml:space="preserve">作为</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的方法。</w:t>
      </w:r>
      <w:r>
        <w:rPr>
          <w:rFonts w:hint="eastAsia" w:ascii="宋体" w:hAnsi="宋体" w:eastAsia="宋体" w:cs="宋体"/>
          <w:b w:val="0"/>
          <w:bCs w:val="0"/>
          <w:color w:val="auto"/>
          <w:sz w:val="24"/>
          <w:szCs w:val="24"/>
          <w:highlight w:val="none"/>
          <w:lang w:val="zh-CN" w:eastAsia="zh-CN"/>
        </w:rPr>
        <w:t xml:space="preserve">评分统计方法采用百分制（满分100分），将全部评委评分直接进行算术平均，小数点后保留2位。</w:t>
      </w:r>
      <w:r>
        <w:rPr>
          <w:rFonts w:hint="eastAsia" w:ascii="宋体" w:hAnsi="宋体" w:eastAsia="宋体" w:cs="宋体"/>
          <w:b w:val="0"/>
          <w:bCs w:val="0"/>
          <w:color w:val="auto"/>
          <w:sz w:val="24"/>
          <w:szCs w:val="24"/>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eastAsia="宋体" w:cs="宋体"/>
          <w:b w:val="0"/>
          <w:bCs w:val="0"/>
          <w:color w:val="auto"/>
          <w:sz w:val="24"/>
          <w:szCs w:val="24"/>
          <w:highlight w:val="none"/>
          <w:lang w:eastAsia="zh-CN"/>
        </w:rPr>
        <w:t xml:space="preserve">本次采购得分最高者为</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，第二名为备选</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，当</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不能履行其义务时，由备选</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顶替，成为新的</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，也可重新组织采购。</w:t>
      </w:r>
      <w:r/>
    </w:p>
    <w:p>
      <w:pPr>
        <w:numPr>
          <w:ilvl w:val="0"/>
          <w:numId w:val="5"/>
        </w:numPr>
        <w:spacing w:before="120" w:after="120" w:line="264" w:lineRule="auto"/>
        <w:rPr>
          <w:rFonts w:hint="default" w:ascii="Times New Roman" w:hAnsi="Times New Roman" w:eastAsia="宋体" w:cs="Times New Roman"/>
          <w:bCs/>
          <w:color w:val="auto"/>
          <w:sz w:val="24"/>
          <w:szCs w:val="24"/>
          <w:highlight w:val="none"/>
        </w:rPr>
        <w:outlineLvl w:val="1"/>
      </w:pPr>
      <w:r>
        <w:rPr>
          <w:rFonts w:hint="default" w:ascii="Times New Roman" w:hAnsi="Times New Roman" w:eastAsia="宋体" w:cs="Times New Roman"/>
          <w:bCs/>
          <w:color w:val="auto"/>
          <w:sz w:val="24"/>
          <w:szCs w:val="24"/>
          <w:highlight w:val="none"/>
        </w:rPr>
        <w:t xml:space="preserve">评审标准</w:t>
      </w:r>
      <w:r/>
    </w:p>
    <w:tbl>
      <w:tblPr>
        <w:tblStyle w:val="812"/>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40"/>
        <w:gridCol w:w="1100"/>
        <w:gridCol w:w="6680"/>
        <w:gridCol w:w="709"/>
      </w:tblGrid>
      <w:tr>
        <w:trPr>
          <w:jc w:val="center"/>
          <w:trHeight w:val="642"/>
        </w:trPr>
        <w:tc>
          <w:tcPr>
            <w:tcMar>
              <w:left w:w="15" w:type="dxa"/>
              <w:top w:w="15" w:type="dxa"/>
              <w:right w:w="15" w:type="dxa"/>
              <w:bottom w:w="0" w:type="dxa"/>
            </w:tcMar>
            <w:tcW w:w="740" w:type="dxa"/>
            <w:vAlign w:val="center"/>
            <w:textDirection w:val="lrTb"/>
            <w:noWrap w:val="false"/>
          </w:tcPr>
          <w:p>
            <w:pPr>
              <w:jc w:val="center"/>
              <w:spacing w:line="480" w:lineRule="exact"/>
              <w:widowControl/>
              <w:rPr>
                <w:rFonts w:hint="eastAsia"/>
                <w:color w:val="000000"/>
                <w:sz w:val="24"/>
                <w:highlight w:val="none"/>
              </w:rPr>
            </w:pPr>
            <w:r>
              <w:rPr>
                <w:color w:val="000000"/>
                <w:sz w:val="24"/>
                <w:highlight w:val="none"/>
              </w:rPr>
              <w:t xml:space="preserve">序号</w:t>
            </w:r>
            <w:r/>
          </w:p>
        </w:tc>
        <w:tc>
          <w:tcPr>
            <w:tcMar>
              <w:left w:w="15" w:type="dxa"/>
              <w:top w:w="15" w:type="dxa"/>
              <w:right w:w="15" w:type="dxa"/>
              <w:bottom w:w="0" w:type="dxa"/>
            </w:tcMar>
            <w:tcW w:w="1100" w:type="dxa"/>
            <w:vAlign w:val="center"/>
            <w:textDirection w:val="lrTb"/>
            <w:noWrap w:val="false"/>
          </w:tcPr>
          <w:p>
            <w:pPr>
              <w:jc w:val="center"/>
              <w:spacing w:line="480" w:lineRule="exact"/>
              <w:widowControl/>
              <w:rPr>
                <w:rFonts w:hint="eastAsia"/>
                <w:color w:val="000000"/>
                <w:sz w:val="24"/>
                <w:highlight w:val="none"/>
              </w:rPr>
            </w:pPr>
            <w:r>
              <w:rPr>
                <w:color w:val="000000"/>
                <w:sz w:val="24"/>
                <w:highlight w:val="none"/>
              </w:rPr>
              <w:t xml:space="preserve">评分因素</w:t>
            </w:r>
            <w:r/>
          </w:p>
        </w:tc>
        <w:tc>
          <w:tcPr>
            <w:tcMar>
              <w:left w:w="15" w:type="dxa"/>
              <w:top w:w="15" w:type="dxa"/>
              <w:right w:w="15" w:type="dxa"/>
              <w:bottom w:w="0" w:type="dxa"/>
            </w:tcMar>
            <w:tcW w:w="6680" w:type="dxa"/>
            <w:vAlign w:val="center"/>
            <w:textDirection w:val="lrTb"/>
            <w:noWrap w:val="false"/>
          </w:tcPr>
          <w:p>
            <w:pPr>
              <w:jc w:val="center"/>
              <w:spacing w:line="480" w:lineRule="exact"/>
              <w:widowControl/>
              <w:rPr>
                <w:rFonts w:hint="eastAsia"/>
                <w:color w:val="000000"/>
                <w:sz w:val="24"/>
                <w:highlight w:val="none"/>
              </w:rPr>
            </w:pPr>
            <w:r>
              <w:rPr>
                <w:color w:val="000000"/>
                <w:sz w:val="24"/>
                <w:highlight w:val="none"/>
              </w:rPr>
              <w:t xml:space="preserve">评 审 标 准</w:t>
            </w:r>
            <w:r/>
          </w:p>
        </w:tc>
        <w:tc>
          <w:tcPr>
            <w:tcW w:w="709" w:type="dxa"/>
            <w:vAlign w:val="center"/>
            <w:textDirection w:val="lrTb"/>
            <w:noWrap w:val="false"/>
          </w:tcPr>
          <w:p>
            <w:pPr>
              <w:jc w:val="center"/>
              <w:spacing w:line="480" w:lineRule="exact"/>
              <w:widowControl/>
              <w:rPr>
                <w:rFonts w:hint="eastAsia"/>
                <w:color w:val="000000"/>
                <w:sz w:val="24"/>
                <w:highlight w:val="none"/>
              </w:rPr>
            </w:pPr>
            <w:r>
              <w:rPr>
                <w:color w:val="000000"/>
                <w:sz w:val="24"/>
                <w:highlight w:val="none"/>
              </w:rPr>
              <w:t xml:space="preserve">分值</w:t>
            </w:r>
            <w:r/>
          </w:p>
        </w:tc>
      </w:tr>
      <w:tr>
        <w:trPr>
          <w:jc w:val="center"/>
          <w:trHeight w:val="1698"/>
        </w:trPr>
        <w:tc>
          <w:tcPr>
            <w:tcMar>
              <w:left w:w="15" w:type="dxa"/>
              <w:top w:w="15" w:type="dxa"/>
              <w:right w:w="15" w:type="dxa"/>
              <w:bottom w:w="0" w:type="dxa"/>
            </w:tcMar>
            <w:tcW w:w="740" w:type="dxa"/>
            <w:vAlign w:val="center"/>
            <w:textDirection w:val="lrTb"/>
            <w:noWrap w:val="false"/>
          </w:tcPr>
          <w:p>
            <w:pPr>
              <w:jc w:val="center"/>
              <w:spacing w:line="480" w:lineRule="exact"/>
              <w:widowControl/>
              <w:rPr>
                <w:rFonts w:hint="eastAsia"/>
                <w:color w:val="000000"/>
                <w:sz w:val="24"/>
                <w:highlight w:val="none"/>
              </w:rPr>
            </w:pPr>
            <w:r>
              <w:rPr>
                <w:color w:val="000000"/>
                <w:sz w:val="24"/>
                <w:highlight w:val="none"/>
              </w:rPr>
              <w:t xml:space="preserve">1</w:t>
            </w:r>
            <w:r/>
          </w:p>
        </w:tc>
        <w:tc>
          <w:tcPr>
            <w:tcMar>
              <w:left w:w="15" w:type="dxa"/>
              <w:top w:w="15" w:type="dxa"/>
              <w:right w:w="15" w:type="dxa"/>
              <w:bottom w:w="0" w:type="dxa"/>
            </w:tcMar>
            <w:tcW w:w="1100" w:type="dxa"/>
            <w:vAlign w:val="center"/>
            <w:textDirection w:val="lrTb"/>
            <w:noWrap w:val="false"/>
          </w:tcPr>
          <w:p>
            <w:pPr>
              <w:jc w:val="center"/>
              <w:spacing w:line="480" w:lineRule="exact"/>
              <w:widowControl/>
              <w:rPr>
                <w:rFonts w:hint="eastAsia"/>
                <w:color w:val="000000"/>
                <w:sz w:val="24"/>
                <w:highlight w:val="none"/>
              </w:rPr>
            </w:pPr>
            <w:r>
              <w:rPr>
                <w:color w:val="000000"/>
                <w:sz w:val="24"/>
                <w:highlight w:val="none"/>
              </w:rPr>
              <w:t xml:space="preserve">价格</w:t>
            </w:r>
            <w:r/>
          </w:p>
          <w:p>
            <w:pPr>
              <w:jc w:val="center"/>
              <w:spacing w:line="480" w:lineRule="exact"/>
              <w:widowControl/>
              <w:rPr>
                <w:rFonts w:hint="eastAsia"/>
                <w:color w:val="000000"/>
                <w:sz w:val="24"/>
                <w:highlight w:val="none"/>
              </w:rPr>
            </w:pPr>
            <w:r>
              <w:rPr>
                <w:color w:val="000000"/>
                <w:sz w:val="24"/>
                <w:highlight w:val="none"/>
              </w:rPr>
              <w:t xml:space="preserve">（</w:t>
            </w:r>
            <w:r>
              <w:rPr>
                <w:rFonts w:hint="eastAsia"/>
                <w:color w:val="000000"/>
                <w:sz w:val="24"/>
                <w:highlight w:val="none"/>
              </w:rPr>
              <w:t xml:space="preserve">10</w:t>
            </w:r>
            <w:r>
              <w:rPr>
                <w:color w:val="000000"/>
                <w:sz w:val="24"/>
                <w:highlight w:val="none"/>
              </w:rPr>
              <w:t xml:space="preserve">分）</w:t>
            </w:r>
            <w:r/>
          </w:p>
        </w:tc>
        <w:tc>
          <w:tcPr>
            <w:tcMar>
              <w:left w:w="15" w:type="dxa"/>
              <w:top w:w="15" w:type="dxa"/>
              <w:right w:w="15" w:type="dxa"/>
              <w:bottom w:w="0" w:type="dxa"/>
            </w:tcMar>
            <w:tcW w:w="6680" w:type="dxa"/>
            <w:vAlign w:val="center"/>
            <w:textDirection w:val="lrTb"/>
            <w:noWrap w:val="false"/>
          </w:tcPr>
          <w:p>
            <w:pPr>
              <w:spacing w:line="480" w:lineRule="exact"/>
              <w:widowControl/>
              <w:rPr>
                <w:rFonts w:hint="eastAsia"/>
                <w:highlight w:val="none"/>
              </w:rPr>
            </w:pPr>
            <w:r>
              <w:rPr>
                <w:rFonts w:hint="eastAsia" w:ascii="宋体" w:hAnsi="宋体"/>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ascii="宋体" w:hAnsi="宋体" w:cs="宋体"/>
                <w:spacing w:val="8"/>
                <w:szCs w:val="21"/>
                <w:highlight w:val="none"/>
              </w:rPr>
              <w:t xml:space="preserve">；</w:t>
            </w:r>
            <w:r/>
          </w:p>
        </w:tc>
        <w:tc>
          <w:tcPr>
            <w:tcW w:w="709" w:type="dxa"/>
            <w:vAlign w:val="center"/>
            <w:textDirection w:val="lrTb"/>
            <w:noWrap w:val="false"/>
          </w:tcPr>
          <w:p>
            <w:pPr>
              <w:jc w:val="center"/>
              <w:spacing w:line="480" w:lineRule="exact"/>
              <w:widowControl/>
              <w:rPr>
                <w:rFonts w:hint="eastAsia"/>
                <w:color w:val="000000"/>
                <w:sz w:val="24"/>
                <w:highlight w:val="none"/>
              </w:rPr>
            </w:pPr>
            <w:r>
              <w:rPr>
                <w:rFonts w:hint="eastAsia"/>
                <w:color w:val="000000"/>
                <w:sz w:val="24"/>
                <w:highlight w:val="none"/>
              </w:rPr>
              <w:t xml:space="preserve">10</w:t>
            </w:r>
            <w:r/>
          </w:p>
        </w:tc>
      </w:tr>
      <w:tr>
        <w:trPr>
          <w:jc w:val="center"/>
          <w:trHeight w:val="930"/>
        </w:trPr>
        <w:tc>
          <w:tcPr>
            <w:tcMar>
              <w:left w:w="15" w:type="dxa"/>
              <w:top w:w="15" w:type="dxa"/>
              <w:right w:w="15" w:type="dxa"/>
              <w:bottom w:w="0" w:type="dxa"/>
            </w:tcMar>
            <w:tcW w:w="740" w:type="dxa"/>
            <w:vAlign w:val="center"/>
            <w:vMerge w:val="restart"/>
            <w:textDirection w:val="lrTb"/>
            <w:noWrap w:val="false"/>
          </w:tcPr>
          <w:p>
            <w:pPr>
              <w:jc w:val="center"/>
              <w:spacing w:line="480" w:lineRule="exact"/>
              <w:rPr>
                <w:rFonts w:hint="eastAsia"/>
                <w:color w:val="000000"/>
                <w:highlight w:val="none"/>
              </w:rPr>
            </w:pPr>
            <w:r>
              <w:rPr>
                <w:color w:val="000000"/>
                <w:highlight w:val="none"/>
              </w:rPr>
              <w:t xml:space="preserve">2</w:t>
            </w:r>
            <w:r/>
          </w:p>
        </w:tc>
        <w:tc>
          <w:tcPr>
            <w:tcMar>
              <w:left w:w="15" w:type="dxa"/>
              <w:top w:w="15" w:type="dxa"/>
              <w:right w:w="15" w:type="dxa"/>
              <w:bottom w:w="0" w:type="dxa"/>
            </w:tcMar>
            <w:tcW w:w="1100" w:type="dxa"/>
            <w:vAlign w:val="center"/>
            <w:vMerge w:val="restart"/>
            <w:textDirection w:val="lrTb"/>
            <w:noWrap w:val="false"/>
          </w:tcPr>
          <w:p>
            <w:pPr>
              <w:jc w:val="center"/>
              <w:spacing w:line="480" w:lineRule="exact"/>
              <w:rPr>
                <w:rFonts w:hint="eastAsia"/>
                <w:color w:val="000000"/>
                <w:highlight w:val="none"/>
              </w:rPr>
            </w:pPr>
            <w:r>
              <w:rPr>
                <w:color w:val="000000"/>
                <w:sz w:val="24"/>
                <w:highlight w:val="none"/>
              </w:rPr>
              <w:t xml:space="preserve">服务方案</w:t>
            </w:r>
            <w:r>
              <w:rPr>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0</w:t>
            </w:r>
            <w:r>
              <w:rPr>
                <w:color w:val="000000"/>
                <w:highlight w:val="none"/>
              </w:rPr>
              <w:t xml:space="preserve">分）</w:t>
            </w:r>
            <w:r/>
          </w:p>
        </w:tc>
        <w:tc>
          <w:tcPr>
            <w:tcMar>
              <w:left w:w="15" w:type="dxa"/>
              <w:top w:w="15" w:type="dxa"/>
              <w:right w:w="15" w:type="dxa"/>
              <w:bottom w:w="0" w:type="dxa"/>
            </w:tcMar>
            <w:tcW w:w="6680" w:type="dxa"/>
            <w:textDirection w:val="lrTb"/>
            <w:noWrap w:val="false"/>
          </w:tcPr>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2.1 评委根据供应商提供的总体项目需求理解</w:t>
            </w:r>
            <w:r>
              <w:rPr>
                <w:rFonts w:hint="eastAsia" w:ascii="宋体" w:hAnsi="宋体" w:eastAsia="宋体" w:cs="宋体"/>
                <w:color w:val="000000"/>
                <w:highlight w:val="none"/>
                <w:lang w:val="zh-CN"/>
              </w:rPr>
              <w:t xml:space="preserve">（包括总体目标、现状分析、问题解剖等）</w:t>
            </w:r>
            <w:r>
              <w:rPr>
                <w:rFonts w:hint="eastAsia" w:ascii="宋体" w:hAnsi="宋体" w:eastAsia="宋体" w:cs="宋体"/>
                <w:color w:val="000000"/>
                <w:highlight w:val="none"/>
                <w:lang w:val="en-US"/>
              </w:rPr>
              <w:t xml:space="preserve">进行综合评分：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对总</w:t>
            </w:r>
            <w:r>
              <w:rPr>
                <w:rFonts w:hint="eastAsia" w:ascii="宋体" w:hAnsi="宋体" w:eastAsia="宋体" w:cs="宋体"/>
                <w:color w:val="000000"/>
                <w:highlight w:val="none"/>
                <w:lang w:val="zh-CN"/>
              </w:rPr>
              <w:t xml:space="preserve">体项目需求</w:t>
            </w:r>
            <w:r>
              <w:rPr>
                <w:rFonts w:hint="eastAsia" w:ascii="宋体" w:hAnsi="宋体" w:eastAsia="宋体" w:cs="宋体"/>
                <w:color w:val="000000"/>
                <w:highlight w:val="none"/>
                <w:lang w:val="en-US"/>
              </w:rPr>
              <w:t xml:space="preserve">要求理解准确，提交的实施方案内容科学合理、针对性明确细致满足本项目任务要求的得10分；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对总</w:t>
            </w:r>
            <w:r>
              <w:rPr>
                <w:rFonts w:hint="eastAsia" w:ascii="宋体" w:hAnsi="宋体" w:eastAsia="宋体" w:cs="宋体"/>
                <w:color w:val="000000"/>
                <w:highlight w:val="none"/>
                <w:lang w:val="zh-CN"/>
              </w:rPr>
              <w:t xml:space="preserve">体项目需求</w:t>
            </w:r>
            <w:r>
              <w:rPr>
                <w:rFonts w:hint="eastAsia" w:ascii="宋体" w:hAnsi="宋体" w:eastAsia="宋体" w:cs="宋体"/>
                <w:color w:val="000000"/>
                <w:highlight w:val="none"/>
                <w:lang w:val="en-US"/>
              </w:rPr>
              <w:t xml:space="preserve">要求理解准确，提交的实施方案内容合理、针对性明确但不够细致，基本满足本项目任务要求的得7分；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对总</w:t>
            </w:r>
            <w:r>
              <w:rPr>
                <w:rFonts w:hint="eastAsia" w:ascii="宋体" w:hAnsi="宋体" w:eastAsia="宋体" w:cs="宋体"/>
                <w:color w:val="000000"/>
                <w:highlight w:val="none"/>
                <w:lang w:val="zh-CN"/>
              </w:rPr>
              <w:t xml:space="preserve">体项目需求</w:t>
            </w:r>
            <w:r>
              <w:rPr>
                <w:rFonts w:hint="eastAsia" w:ascii="宋体" w:hAnsi="宋体" w:eastAsia="宋体" w:cs="宋体"/>
                <w:color w:val="000000"/>
                <w:highlight w:val="none"/>
                <w:lang w:val="en-US"/>
              </w:rPr>
              <w:t xml:space="preserve">要求理解不够准确，提交的实施方案合理但无针对性，内容不能完全满足本项目任务要求的得4分；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未提供的不得分。</w:t>
            </w:r>
            <w:r/>
          </w:p>
        </w:tc>
        <w:tc>
          <w:tcPr>
            <w:tcW w:w="709" w:type="dxa"/>
            <w:vAlign w:val="center"/>
            <w:textDirection w:val="lrTb"/>
            <w:noWrap w:val="false"/>
          </w:tcPr>
          <w:p>
            <w:pPr>
              <w:jc w:val="center"/>
              <w:spacing w:line="440" w:lineRule="exact"/>
              <w:rPr>
                <w:rFonts w:hint="eastAsia"/>
                <w:color w:val="000000"/>
                <w:highlight w:val="none"/>
              </w:rPr>
            </w:pPr>
            <w:r>
              <w:rPr>
                <w:rFonts w:hint="eastAsia"/>
                <w:color w:val="000000"/>
                <w:highlight w:val="none"/>
              </w:rPr>
              <w:t xml:space="preserve">10</w:t>
            </w:r>
            <w:r/>
          </w:p>
        </w:tc>
      </w:tr>
      <w:tr>
        <w:trPr>
          <w:jc w:val="center"/>
          <w:trHeight w:val="720"/>
        </w:trPr>
        <w:tc>
          <w:tcPr>
            <w:tcW w:w="74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W w:w="110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Mar>
              <w:left w:w="15" w:type="dxa"/>
              <w:top w:w="15" w:type="dxa"/>
              <w:right w:w="15" w:type="dxa"/>
              <w:bottom w:w="0" w:type="dxa"/>
            </w:tcMar>
            <w:tcW w:w="6680" w:type="dxa"/>
            <w:textDirection w:val="lrTb"/>
            <w:noWrap w:val="false"/>
          </w:tcPr>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2.2 评委根据供应商提供的工作方案，包括技术标准、人员培训、质量管理内容进行综合评分：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工作方案内容科学合理、针对性明确细致、完全符合行业技术标准、满足本项目任务要求的得10分；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工作方案内容合理、针对性明确但不够细致，符合行业技术标准、基本满足本项目任务要求的得7分；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工作方案合理但无针对性，基本符合行业技术标准、内容不能完全满足本项目任务要求的得4分；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未提供的不得分。</w:t>
            </w:r>
            <w:r/>
          </w:p>
        </w:tc>
        <w:tc>
          <w:tcPr>
            <w:tcW w:w="709" w:type="dxa"/>
            <w:vAlign w:val="center"/>
            <w:textDirection w:val="lrTb"/>
            <w:noWrap w:val="false"/>
          </w:tcPr>
          <w:p>
            <w:pPr>
              <w:jc w:val="center"/>
              <w:spacing w:line="440" w:lineRule="exact"/>
              <w:rPr>
                <w:rFonts w:hint="eastAsia"/>
                <w:color w:val="000000"/>
                <w:highlight w:val="none"/>
              </w:rPr>
            </w:pPr>
            <w:r>
              <w:rPr>
                <w:rFonts w:hint="eastAsia"/>
                <w:color w:val="000000"/>
                <w:highlight w:val="none"/>
              </w:rPr>
              <w:t xml:space="preserve">10</w:t>
            </w:r>
            <w:r/>
          </w:p>
        </w:tc>
      </w:tr>
      <w:tr>
        <w:trPr>
          <w:jc w:val="center"/>
          <w:trHeight w:val="720"/>
        </w:trPr>
        <w:tc>
          <w:tcPr>
            <w:tcW w:w="74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W w:w="110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Mar>
              <w:left w:w="15" w:type="dxa"/>
              <w:top w:w="15" w:type="dxa"/>
              <w:right w:w="15" w:type="dxa"/>
              <w:bottom w:w="0" w:type="dxa"/>
            </w:tcMar>
            <w:tcW w:w="6680" w:type="dxa"/>
            <w:textDirection w:val="lrTb"/>
            <w:noWrap w:val="false"/>
          </w:tcPr>
          <w:p>
            <w:pPr>
              <w:spacing w:line="480" w:lineRule="exact"/>
              <w:widowControl/>
              <w:rPr>
                <w:rFonts w:hint="eastAsia"/>
                <w:color w:val="000000"/>
                <w:highlight w:val="none"/>
                <w:lang w:val="en-US"/>
              </w:rPr>
            </w:pPr>
            <w:r>
              <w:rPr>
                <w:rFonts w:hint="eastAsia"/>
                <w:color w:val="000000"/>
                <w:highlight w:val="none"/>
                <w:lang w:val="en-US"/>
              </w:rPr>
              <w:t xml:space="preserve">2.3评委根据供应商提供的质量、进度保证措施内容进行综合评分： </w:t>
            </w:r>
            <w:r/>
          </w:p>
          <w:p>
            <w:pPr>
              <w:spacing w:line="480" w:lineRule="exact"/>
              <w:widowControl/>
              <w:rPr>
                <w:rFonts w:hint="eastAsia"/>
                <w:color w:val="000000"/>
                <w:highlight w:val="none"/>
                <w:lang w:val="en-US"/>
              </w:rPr>
            </w:pPr>
            <w:r>
              <w:rPr>
                <w:rFonts w:hint="eastAsia"/>
                <w:color w:val="000000"/>
                <w:highlight w:val="none"/>
                <w:lang w:val="en-US"/>
              </w:rPr>
              <w:t xml:space="preserve">进度计划安排科学合理，质量控制措施详尽细致，管理制度完善全面，能保证很好的完成任务的得10分；</w:t>
            </w:r>
            <w:r/>
          </w:p>
          <w:p>
            <w:pPr>
              <w:spacing w:line="480" w:lineRule="exact"/>
              <w:widowControl/>
              <w:rPr>
                <w:rFonts w:hint="eastAsia"/>
                <w:color w:val="000000"/>
                <w:highlight w:val="none"/>
                <w:lang w:val="en-US"/>
              </w:rPr>
            </w:pPr>
            <w:r>
              <w:rPr>
                <w:rFonts w:hint="eastAsia"/>
                <w:color w:val="000000"/>
                <w:highlight w:val="none"/>
                <w:lang w:val="en-US"/>
              </w:rPr>
              <w:t xml:space="preserve">进度计划安排合理，质量控制措施详尽但不够细致，管理制度完善但不够全面，能保证完成任务的得7分；</w:t>
            </w:r>
            <w:r/>
          </w:p>
          <w:p>
            <w:pPr>
              <w:spacing w:line="480" w:lineRule="exact"/>
              <w:widowControl/>
              <w:rPr>
                <w:rFonts w:hint="eastAsia"/>
                <w:color w:val="000000"/>
                <w:highlight w:val="none"/>
                <w:lang w:val="en-US"/>
              </w:rPr>
            </w:pPr>
            <w:r>
              <w:rPr>
                <w:rFonts w:hint="eastAsia"/>
                <w:color w:val="000000"/>
                <w:highlight w:val="none"/>
                <w:lang w:val="en-US"/>
              </w:rPr>
              <w:t xml:space="preserve">进度计划安排合理，质量控制措施可行但不够详尽，管理制度可行但不够完善，能基本保证任务完成的得4分；</w:t>
            </w:r>
            <w:r/>
          </w:p>
          <w:p>
            <w:pPr>
              <w:spacing w:line="480" w:lineRule="exact"/>
              <w:widowControl/>
              <w:rPr>
                <w:rFonts w:hint="eastAsia"/>
                <w:color w:val="000000"/>
                <w:highlight w:val="none"/>
                <w:lang w:val="en-US"/>
              </w:rPr>
            </w:pPr>
            <w:r>
              <w:rPr>
                <w:rFonts w:hint="eastAsia"/>
                <w:color w:val="000000"/>
                <w:highlight w:val="none"/>
                <w:lang w:val="en-US"/>
              </w:rPr>
              <w:t xml:space="preserve">未提供的不得分。</w:t>
            </w:r>
            <w:r/>
          </w:p>
        </w:tc>
        <w:tc>
          <w:tcPr>
            <w:tcW w:w="709" w:type="dxa"/>
            <w:vAlign w:val="center"/>
            <w:textDirection w:val="lrTb"/>
            <w:noWrap w:val="false"/>
          </w:tcPr>
          <w:p>
            <w:pPr>
              <w:jc w:val="center"/>
              <w:spacing w:line="440" w:lineRule="exact"/>
              <w:rPr>
                <w:rFonts w:hint="eastAsia"/>
                <w:color w:val="000000"/>
                <w:highlight w:val="none"/>
              </w:rPr>
            </w:pPr>
            <w:r>
              <w:rPr>
                <w:rFonts w:hint="eastAsia"/>
                <w:color w:val="000000"/>
                <w:highlight w:val="none"/>
              </w:rPr>
              <w:t xml:space="preserve">10</w:t>
            </w:r>
            <w:r/>
          </w:p>
        </w:tc>
      </w:tr>
      <w:tr>
        <w:trPr>
          <w:jc w:val="center"/>
          <w:trHeight w:val="720"/>
        </w:trPr>
        <w:tc>
          <w:tcPr>
            <w:tcW w:w="74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W w:w="110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Mar>
              <w:left w:w="15" w:type="dxa"/>
              <w:top w:w="15" w:type="dxa"/>
              <w:right w:w="15" w:type="dxa"/>
              <w:bottom w:w="0" w:type="dxa"/>
            </w:tcMar>
            <w:tcW w:w="6680" w:type="dxa"/>
            <w:textDirection w:val="lrTb"/>
            <w:noWrap w:val="false"/>
          </w:tcPr>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2.4评委根据供应商提供的本项目的重点和难点分析及应对措施内容进行综合评分：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提出问题针对性强，对重点难点认识全面详细，解决方案详细合理的得10分；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提出问题有针对性但不够详尽，对重点难点有一定认识全面但不够详细，解决方案较合理的得7分；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提出的问题无针对性，对重点难点认识不全面，解决方案基本可行得4分；</w:t>
            </w:r>
            <w:r/>
          </w:p>
          <w:p>
            <w:pPr>
              <w:spacing w:line="480" w:lineRule="exact"/>
              <w:widowControl/>
              <w:rPr>
                <w:rFonts w:hint="eastAsia"/>
                <w:color w:val="000000"/>
                <w:highlight w:val="none"/>
                <w:lang w:val="en-US"/>
              </w:rPr>
            </w:pPr>
            <w:r>
              <w:rPr>
                <w:rFonts w:hint="eastAsia" w:ascii="宋体" w:hAnsi="宋体" w:eastAsia="宋体" w:cs="宋体"/>
                <w:color w:val="000000"/>
                <w:highlight w:val="none"/>
                <w:lang w:val="en-US"/>
              </w:rPr>
              <w:t xml:space="preserve">差或无此项内容不得分。</w:t>
            </w:r>
            <w:r/>
          </w:p>
        </w:tc>
        <w:tc>
          <w:tcPr>
            <w:tcW w:w="709" w:type="dxa"/>
            <w:vAlign w:val="center"/>
            <w:textDirection w:val="lrTb"/>
            <w:noWrap w:val="false"/>
          </w:tcPr>
          <w:p>
            <w:pPr>
              <w:jc w:val="center"/>
              <w:spacing w:line="440" w:lineRule="exact"/>
              <w:rPr>
                <w:rFonts w:hint="eastAsia"/>
                <w:color w:val="000000"/>
                <w:highlight w:val="none"/>
              </w:rPr>
            </w:pPr>
            <w:r>
              <w:rPr>
                <w:rFonts w:hint="eastAsia"/>
                <w:color w:val="000000"/>
                <w:highlight w:val="none"/>
              </w:rPr>
              <w:t xml:space="preserve">10</w:t>
            </w:r>
            <w:r/>
          </w:p>
        </w:tc>
      </w:tr>
      <w:tr>
        <w:trPr>
          <w:jc w:val="center"/>
          <w:trHeight w:val="1099"/>
        </w:trPr>
        <w:tc>
          <w:tcPr>
            <w:tcW w:w="74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W w:w="1100" w:type="dxa"/>
            <w:vAlign w:val="center"/>
            <w:vMerge w:val="continue"/>
            <w:textDirection w:val="lrTb"/>
            <w:noWrap w:val="false"/>
          </w:tcPr>
          <w:p>
            <w:pPr>
              <w:spacing w:line="480" w:lineRule="exact"/>
              <w:widowControl/>
              <w:rPr>
                <w:rFonts w:hint="eastAsia"/>
                <w:color w:val="000000"/>
                <w:highlight w:val="none"/>
              </w:rPr>
            </w:pPr>
            <w:r>
              <w:rPr>
                <w:rFonts w:hint="eastAsia"/>
                <w:color w:val="000000"/>
                <w:highlight w:val="none"/>
              </w:rPr>
            </w:r>
            <w:r/>
          </w:p>
        </w:tc>
        <w:tc>
          <w:tcPr>
            <w:tcMar>
              <w:left w:w="15" w:type="dxa"/>
              <w:top w:w="15" w:type="dxa"/>
              <w:right w:w="15" w:type="dxa"/>
              <w:bottom w:w="0" w:type="dxa"/>
            </w:tcMar>
            <w:tcW w:w="6680" w:type="dxa"/>
            <w:textDirection w:val="lrTb"/>
            <w:noWrap w:val="false"/>
          </w:tcPr>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2.5 服务承诺及后续服务安排</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服务目标明确，服务措施全面、针对性明确细致，后续服务考虑全面详细的得10分；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服务目标明确，服务措施全面、针对性明确但不够细致，后续服务考虑全面但不够详细的得7分；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服务目标不够明确，服务措施不够全面、无针对性，后续服务考虑不够详细的得4分；</w:t>
            </w:r>
            <w:r/>
          </w:p>
          <w:p>
            <w:pPr>
              <w:spacing w:line="480" w:lineRule="exact"/>
              <w:widowControl/>
              <w:rPr>
                <w:rFonts w:hint="eastAsia"/>
                <w:color w:val="000000"/>
                <w:highlight w:val="none"/>
                <w:lang w:val="en-US"/>
              </w:rPr>
            </w:pPr>
            <w:r>
              <w:rPr>
                <w:rFonts w:hint="eastAsia" w:ascii="宋体" w:hAnsi="宋体" w:eastAsia="宋体" w:cs="宋体"/>
                <w:color w:val="000000"/>
                <w:highlight w:val="none"/>
                <w:lang w:val="en-US"/>
              </w:rPr>
              <w:t xml:space="preserve">未提供的不得分。</w:t>
            </w:r>
            <w:r/>
          </w:p>
        </w:tc>
        <w:tc>
          <w:tcPr>
            <w:tcW w:w="709" w:type="dxa"/>
            <w:vAlign w:val="center"/>
            <w:textDirection w:val="lrTb"/>
            <w:noWrap w:val="false"/>
          </w:tcPr>
          <w:p>
            <w:pPr>
              <w:ind w:firstLine="220"/>
              <w:jc w:val="both"/>
              <w:spacing w:line="440" w:lineRule="exact"/>
              <w:rPr>
                <w:rFonts w:hint="eastAsia"/>
                <w:color w:val="000000"/>
                <w:highlight w:val="none"/>
              </w:rPr>
            </w:pPr>
            <w:r>
              <w:rPr>
                <w:rFonts w:hint="eastAsia"/>
                <w:color w:val="000000"/>
                <w:highlight w:val="none"/>
              </w:rPr>
              <w:t xml:space="preserve">10</w:t>
            </w:r>
            <w:r/>
          </w:p>
        </w:tc>
      </w:tr>
      <w:tr>
        <w:trPr>
          <w:jc w:val="center"/>
          <w:trHeight w:val="720"/>
        </w:trPr>
        <w:tc>
          <w:tcPr>
            <w:tcMar>
              <w:left w:w="15" w:type="dxa"/>
              <w:top w:w="15" w:type="dxa"/>
              <w:right w:w="15" w:type="dxa"/>
              <w:bottom w:w="0" w:type="dxa"/>
            </w:tcMar>
            <w:tcW w:w="740" w:type="dxa"/>
            <w:vAlign w:val="center"/>
            <w:textDirection w:val="lrTb"/>
            <w:noWrap w:val="false"/>
          </w:tcPr>
          <w:p>
            <w:pPr>
              <w:jc w:val="center"/>
              <w:spacing w:line="480" w:lineRule="exact"/>
              <w:rPr>
                <w:rFonts w:hint="eastAsia"/>
                <w:color w:val="000000"/>
                <w:highlight w:val="none"/>
              </w:rPr>
            </w:pPr>
            <w:r>
              <w:rPr>
                <w:color w:val="000000"/>
                <w:highlight w:val="none"/>
              </w:rPr>
              <w:t xml:space="preserve">3</w:t>
            </w:r>
            <w:r/>
          </w:p>
        </w:tc>
        <w:tc>
          <w:tcPr>
            <w:tcMar>
              <w:left w:w="15" w:type="dxa"/>
              <w:top w:w="15" w:type="dxa"/>
              <w:right w:w="15" w:type="dxa"/>
              <w:bottom w:w="0" w:type="dxa"/>
            </w:tcMar>
            <w:tcW w:w="1100" w:type="dxa"/>
            <w:vAlign w:val="center"/>
            <w:textDirection w:val="lrTb"/>
            <w:noWrap w:val="false"/>
          </w:tcPr>
          <w:p>
            <w:pPr>
              <w:jc w:val="center"/>
              <w:spacing w:line="480" w:lineRule="exact"/>
              <w:rPr>
                <w:rFonts w:hint="default" w:eastAsia="宋体"/>
                <w:color w:val="000000"/>
                <w:highlight w:val="none"/>
                <w:lang w:val="en-US" w:eastAsia="zh-CN"/>
              </w:rPr>
            </w:pPr>
            <w:r>
              <w:rPr>
                <w:color w:val="000000"/>
                <w:highlight w:val="none"/>
              </w:rPr>
              <w:t xml:space="preserve">项目</w:t>
            </w:r>
            <w:r>
              <w:rPr>
                <w:rFonts w:hint="eastAsia"/>
                <w:color w:val="000000"/>
                <w:highlight w:val="none"/>
                <w:lang w:val="en-US" w:eastAsia="zh-CN"/>
              </w:rPr>
              <w:t xml:space="preserve">人员配备</w:t>
            </w:r>
            <w:r/>
          </w:p>
          <w:p>
            <w:pPr>
              <w:jc w:val="center"/>
              <w:spacing w:line="480" w:lineRule="exact"/>
              <w:rPr>
                <w:rFonts w:hint="eastAsia"/>
                <w:color w:val="000000"/>
                <w:highlight w:val="none"/>
              </w:rPr>
            </w:pPr>
            <w:r>
              <w:rPr>
                <w:color w:val="000000"/>
                <w:highlight w:val="none"/>
              </w:rPr>
              <w:t xml:space="preserve">（1</w:t>
            </w:r>
            <w:r>
              <w:rPr>
                <w:rFonts w:hint="eastAsia"/>
                <w:color w:val="000000"/>
                <w:highlight w:val="none"/>
                <w:lang w:val="en-US" w:eastAsia="zh-CN"/>
              </w:rPr>
              <w:t xml:space="preserve">6</w:t>
            </w:r>
            <w:r>
              <w:rPr>
                <w:color w:val="000000"/>
                <w:highlight w:val="none"/>
              </w:rPr>
              <w:t xml:space="preserve">分）</w:t>
            </w:r>
            <w:r/>
          </w:p>
        </w:tc>
        <w:tc>
          <w:tcPr>
            <w:tcMar>
              <w:left w:w="15" w:type="dxa"/>
              <w:top w:w="15" w:type="dxa"/>
              <w:right w:w="15" w:type="dxa"/>
              <w:bottom w:w="0" w:type="dxa"/>
            </w:tcMar>
            <w:tcW w:w="6680" w:type="dxa"/>
            <w:vAlign w:val="center"/>
            <w:textDirection w:val="lrTb"/>
            <w:noWrap w:val="false"/>
          </w:tcPr>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项目人员配备：</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项目负责人具有林业行业颁发的林业有害生物防治员证得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rPr>
              <w:t xml:space="preserve">分；</w:t>
            </w:r>
            <w:r/>
          </w:p>
          <w:p>
            <w:pPr>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项目参与人员具有林业相关的中级及以上职称，有高级及以上职称的每1名加4分，具有中级职称的每一名加2分，没有不得分，最多得1</w:t>
            </w:r>
            <w:r>
              <w:rPr>
                <w:rFonts w:hint="eastAsia" w:cs="宋体"/>
                <w:color w:val="000000"/>
                <w:highlight w:val="none"/>
                <w:lang w:val="en-US" w:eastAsia="zh-CN"/>
              </w:rPr>
              <w:t xml:space="preserve">6</w:t>
            </w:r>
            <w:r>
              <w:rPr>
                <w:rFonts w:hint="eastAsia" w:ascii="宋体" w:hAnsi="宋体" w:eastAsia="宋体" w:cs="宋体"/>
                <w:color w:val="000000"/>
                <w:highlight w:val="none"/>
                <w:lang w:val="en-US"/>
              </w:rPr>
              <w:t xml:space="preserve">分。</w:t>
            </w:r>
            <w:r/>
          </w:p>
          <w:p>
            <w:pPr>
              <w:spacing w:line="480" w:lineRule="exact"/>
              <w:widowControl/>
              <w:rPr>
                <w:rFonts w:hint="eastAsia"/>
                <w:color w:val="000000"/>
                <w:highlight w:val="none"/>
              </w:rPr>
            </w:pPr>
            <w:r>
              <w:rPr>
                <w:rFonts w:hint="eastAsia" w:ascii="宋体" w:hAnsi="宋体" w:eastAsia="宋体" w:cs="宋体"/>
                <w:color w:val="000000"/>
                <w:highlight w:val="none"/>
                <w:lang w:val="en-US"/>
              </w:rPr>
              <w:t xml:space="preserve">（需同时提供有效身份证和职称证书复印件加盖公章及投标供应商提供劳务合同的证明材料）</w:t>
            </w:r>
            <w:r/>
          </w:p>
        </w:tc>
        <w:tc>
          <w:tcPr>
            <w:tcW w:w="709" w:type="dxa"/>
            <w:vAlign w:val="center"/>
            <w:textDirection w:val="lrTb"/>
            <w:noWrap w:val="false"/>
          </w:tcPr>
          <w:p>
            <w:pPr>
              <w:jc w:val="center"/>
              <w:spacing w:line="480" w:lineRule="exact"/>
              <w:rPr>
                <w:rFonts w:hint="default" w:eastAsia="宋体"/>
                <w:color w:val="000000"/>
                <w:highlight w:val="none"/>
                <w:lang w:val="en-US" w:eastAsia="zh-CN"/>
              </w:rPr>
            </w:pPr>
            <w:r>
              <w:rPr>
                <w:color w:val="000000"/>
                <w:highlight w:val="none"/>
              </w:rPr>
              <w:t xml:space="preserve">1</w:t>
            </w:r>
            <w:r>
              <w:rPr>
                <w:rFonts w:hint="eastAsia"/>
                <w:color w:val="000000"/>
                <w:highlight w:val="none"/>
                <w:lang w:val="en-US" w:eastAsia="zh-CN"/>
              </w:rPr>
              <w:t xml:space="preserve">6</w:t>
            </w:r>
            <w:r/>
          </w:p>
        </w:tc>
      </w:tr>
      <w:tr>
        <w:trPr>
          <w:jc w:val="center"/>
          <w:trHeight w:val="720"/>
        </w:trPr>
        <w:tc>
          <w:tcPr>
            <w:tcMar>
              <w:left w:w="15" w:type="dxa"/>
              <w:top w:w="15" w:type="dxa"/>
              <w:right w:w="15" w:type="dxa"/>
              <w:bottom w:w="0" w:type="dxa"/>
            </w:tcMar>
            <w:tcW w:w="740" w:type="dxa"/>
            <w:vAlign w:val="center"/>
            <w:textDirection w:val="lrTb"/>
            <w:noWrap w:val="false"/>
          </w:tcPr>
          <w:p>
            <w:pPr>
              <w:jc w:val="center"/>
              <w:spacing w:line="480" w:lineRule="exact"/>
              <w:rPr>
                <w:rFonts w:hint="eastAsia"/>
                <w:color w:val="000000"/>
                <w:highlight w:val="none"/>
              </w:rPr>
            </w:pPr>
            <w:r>
              <w:rPr>
                <w:color w:val="000000"/>
                <w:highlight w:val="none"/>
              </w:rPr>
              <w:t xml:space="preserve">4</w:t>
            </w:r>
            <w:r/>
          </w:p>
        </w:tc>
        <w:tc>
          <w:tcPr>
            <w:tcMar>
              <w:left w:w="15" w:type="dxa"/>
              <w:top w:w="15" w:type="dxa"/>
              <w:right w:w="15" w:type="dxa"/>
              <w:bottom w:w="0" w:type="dxa"/>
            </w:tcMar>
            <w:tcW w:w="1100" w:type="dxa"/>
            <w:vAlign w:val="center"/>
            <w:textDirection w:val="lrTb"/>
            <w:noWrap w:val="false"/>
          </w:tcPr>
          <w:p>
            <w:pPr>
              <w:jc w:val="center"/>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供应商</w:t>
            </w:r>
            <w:r/>
          </w:p>
          <w:p>
            <w:pPr>
              <w:jc w:val="center"/>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业绩</w:t>
            </w:r>
            <w:r/>
          </w:p>
          <w:p>
            <w:pPr>
              <w:jc w:val="center"/>
              <w:spacing w:line="480" w:lineRule="exact"/>
              <w:rPr>
                <w:rFonts w:hint="eastAsia"/>
                <w:color w:val="000000"/>
                <w:sz w:val="22"/>
                <w:szCs w:val="22"/>
                <w:highlight w:val="none"/>
              </w:rPr>
            </w:pPr>
            <w:r>
              <w:rPr>
                <w:color w:val="000000"/>
                <w:sz w:val="22"/>
                <w:szCs w:val="22"/>
                <w:highlight w:val="none"/>
              </w:rPr>
              <w:t xml:space="preserve">（</w:t>
            </w:r>
            <w:r>
              <w:rPr>
                <w:rFonts w:hint="eastAsia"/>
                <w:color w:val="000000"/>
                <w:sz w:val="22"/>
                <w:szCs w:val="22"/>
                <w:highlight w:val="none"/>
                <w:lang w:val="en-US" w:eastAsia="zh-CN"/>
              </w:rPr>
              <w:t xml:space="preserve">12</w:t>
            </w:r>
            <w:r>
              <w:rPr>
                <w:color w:val="000000"/>
                <w:sz w:val="22"/>
                <w:szCs w:val="22"/>
                <w:highlight w:val="none"/>
              </w:rPr>
              <w:t xml:space="preserve">分）</w:t>
            </w:r>
            <w:r/>
          </w:p>
        </w:tc>
        <w:tc>
          <w:tcPr>
            <w:tcMar>
              <w:left w:w="15" w:type="dxa"/>
              <w:top w:w="15" w:type="dxa"/>
              <w:right w:w="15" w:type="dxa"/>
              <w:bottom w:w="0" w:type="dxa"/>
            </w:tcMar>
            <w:tcW w:w="6680" w:type="dxa"/>
            <w:vAlign w:val="center"/>
            <w:textDirection w:val="lrTb"/>
            <w:noWrap w:val="false"/>
          </w:tcPr>
          <w:p>
            <w:pPr>
              <w:rPr>
                <w:rFonts w:hint="eastAsia" w:ascii="宋体" w:hAnsi="宋体"/>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2"/>
                <w:szCs w:val="22"/>
                <w:highlight w:val="none"/>
                <w:lang w:val="en-US" w:eastAsia="zh-CN"/>
              </w:rPr>
              <w:t xml:space="preserve">供应商业绩：</w:t>
            </w:r>
            <w:r/>
          </w:p>
          <w:p>
            <w:pPr>
              <w:rPr>
                <w:rFonts w:hint="eastAsia" w:ascii="宋体" w:hAnsi="宋体" w:eastAsia="宋体" w:cs="宋体"/>
                <w:color w:val="000000"/>
                <w:sz w:val="22"/>
                <w:szCs w:val="22"/>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sz w:val="22"/>
                <w:szCs w:val="22"/>
                <w:highlight w:val="none"/>
                <w:lang w:val="zh-CN"/>
              </w:rPr>
              <w:t xml:space="preserve">供应商20</w:t>
            </w:r>
            <w:r>
              <w:rPr>
                <w:rFonts w:hint="eastAsia" w:ascii="宋体" w:hAnsi="宋体"/>
                <w:sz w:val="22"/>
                <w:szCs w:val="22"/>
                <w:highlight w:val="none"/>
              </w:rPr>
              <w:t xml:space="preserve">2</w:t>
            </w:r>
            <w:r>
              <w:rPr>
                <w:rFonts w:hint="eastAsia" w:ascii="宋体" w:hAnsi="宋体"/>
                <w:sz w:val="22"/>
                <w:szCs w:val="22"/>
                <w:highlight w:val="none"/>
                <w:lang w:val="en-US" w:eastAsia="zh-CN"/>
              </w:rPr>
              <w:t xml:space="preserve">2</w:t>
            </w:r>
            <w:r>
              <w:rPr>
                <w:rFonts w:hint="eastAsia" w:ascii="宋体" w:hAnsi="宋体"/>
                <w:sz w:val="22"/>
                <w:szCs w:val="22"/>
                <w:highlight w:val="none"/>
                <w:lang w:val="zh-CN"/>
              </w:rPr>
              <w:t xml:space="preserve">年</w:t>
            </w:r>
            <w:r>
              <w:rPr>
                <w:rFonts w:hint="eastAsia" w:ascii="宋体" w:hAnsi="宋体"/>
                <w:sz w:val="22"/>
                <w:szCs w:val="22"/>
                <w:highlight w:val="none"/>
              </w:rPr>
              <w:t xml:space="preserve">1</w:t>
            </w:r>
            <w:r>
              <w:rPr>
                <w:rFonts w:hint="eastAsia" w:ascii="宋体" w:hAnsi="宋体"/>
                <w:sz w:val="22"/>
                <w:szCs w:val="22"/>
                <w:highlight w:val="none"/>
                <w:lang w:val="zh-CN"/>
              </w:rPr>
              <w:t xml:space="preserve">月1日以来（以合同签订时间为准）承担过类似项目的</w:t>
            </w:r>
            <w:r>
              <w:rPr>
                <w:rFonts w:hint="eastAsia" w:ascii="宋体" w:hAnsi="宋体"/>
                <w:sz w:val="22"/>
                <w:szCs w:val="22"/>
                <w:highlight w:val="none"/>
              </w:rPr>
              <w:t xml:space="preserve">每提供一个得4分，</w:t>
            </w:r>
            <w:r>
              <w:rPr>
                <w:rFonts w:hint="eastAsia" w:ascii="宋体" w:hAnsi="宋体"/>
                <w:sz w:val="22"/>
                <w:szCs w:val="22"/>
                <w:highlight w:val="none"/>
                <w:lang w:val="zh-CN"/>
              </w:rPr>
              <w:t xml:space="preserve">满分</w:t>
            </w:r>
            <w:r>
              <w:rPr>
                <w:rFonts w:hint="eastAsia" w:ascii="宋体" w:hAnsi="宋体"/>
                <w:sz w:val="22"/>
                <w:szCs w:val="22"/>
                <w:highlight w:val="none"/>
              </w:rPr>
              <w:t xml:space="preserve">12</w:t>
            </w:r>
            <w:r>
              <w:rPr>
                <w:rFonts w:hint="eastAsia" w:ascii="宋体" w:hAnsi="宋体"/>
                <w:sz w:val="22"/>
                <w:szCs w:val="22"/>
                <w:highlight w:val="none"/>
                <w:lang w:val="zh-CN"/>
              </w:rPr>
              <w:t xml:space="preserve">分（提供中标通知书、</w:t>
            </w:r>
            <w:r>
              <w:rPr>
                <w:rFonts w:hint="eastAsia" w:ascii="宋体" w:hAnsi="宋体"/>
                <w:sz w:val="22"/>
                <w:szCs w:val="22"/>
                <w:highlight w:val="none"/>
              </w:rPr>
              <w:t xml:space="preserve">合同、项目验收报告或跟踪审计报告</w:t>
            </w:r>
            <w:r>
              <w:rPr>
                <w:rFonts w:hint="eastAsia" w:ascii="宋体" w:hAnsi="宋体"/>
                <w:sz w:val="22"/>
                <w:szCs w:val="22"/>
                <w:highlight w:val="none"/>
                <w:lang w:val="zh-CN"/>
              </w:rPr>
              <w:t xml:space="preserve">复印件并加盖公章，</w:t>
            </w:r>
            <w:r>
              <w:rPr>
                <w:rFonts w:hint="eastAsia" w:ascii="宋体" w:hAnsi="宋体"/>
                <w:sz w:val="22"/>
                <w:szCs w:val="22"/>
                <w:highlight w:val="none"/>
              </w:rPr>
              <w:t xml:space="preserve">三者缺一不可</w:t>
            </w:r>
            <w:r>
              <w:rPr>
                <w:rFonts w:hint="eastAsia" w:ascii="宋体" w:hAnsi="宋体"/>
                <w:sz w:val="22"/>
                <w:szCs w:val="22"/>
                <w:highlight w:val="none"/>
                <w:lang w:val="zh-CN"/>
              </w:rPr>
              <w:t xml:space="preserve">）</w:t>
            </w:r>
            <w:r/>
          </w:p>
        </w:tc>
        <w:tc>
          <w:tcPr>
            <w:tcW w:w="709" w:type="dxa"/>
            <w:vAlign w:val="center"/>
            <w:textDirection w:val="lrTb"/>
            <w:noWrap w:val="false"/>
          </w:tcPr>
          <w:p>
            <w:pPr>
              <w:ind w:firstLine="220"/>
              <w:spacing w:line="480" w:lineRule="exact"/>
              <w:widowControl/>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12</w:t>
            </w:r>
            <w:r/>
          </w:p>
        </w:tc>
      </w:tr>
      <w:tr>
        <w:trPr>
          <w:jc w:val="center"/>
          <w:trHeight w:val="720"/>
        </w:trPr>
        <w:tc>
          <w:tcPr>
            <w:tcMar>
              <w:left w:w="15" w:type="dxa"/>
              <w:top w:w="15" w:type="dxa"/>
              <w:right w:w="15" w:type="dxa"/>
              <w:bottom w:w="0" w:type="dxa"/>
            </w:tcMar>
            <w:tcW w:w="740" w:type="dxa"/>
            <w:vAlign w:val="center"/>
            <w:textDirection w:val="lrTb"/>
            <w:noWrap w:val="false"/>
          </w:tcPr>
          <w:p>
            <w:pPr>
              <w:jc w:val="center"/>
              <w:spacing w:line="480" w:lineRule="exact"/>
              <w:rPr>
                <w:rFonts w:hint="eastAsia"/>
                <w:color w:val="000000"/>
                <w:highlight w:val="none"/>
              </w:rPr>
            </w:pPr>
            <w:r>
              <w:rPr>
                <w:color w:val="000000"/>
                <w:highlight w:val="none"/>
              </w:rPr>
              <w:t xml:space="preserve">5</w:t>
            </w:r>
            <w:r/>
          </w:p>
        </w:tc>
        <w:tc>
          <w:tcPr>
            <w:tcMar>
              <w:left w:w="15" w:type="dxa"/>
              <w:top w:w="15" w:type="dxa"/>
              <w:right w:w="15" w:type="dxa"/>
              <w:bottom w:w="0" w:type="dxa"/>
            </w:tcMar>
            <w:tcW w:w="1100" w:type="dxa"/>
            <w:vAlign w:val="center"/>
            <w:textDirection w:val="lrTb"/>
            <w:noWrap w:val="false"/>
          </w:tcPr>
          <w:p>
            <w:pPr>
              <w:jc w:val="center"/>
              <w:spacing w:line="480" w:lineRule="exact"/>
              <w:rPr>
                <w:rFonts w:hint="eastAsia"/>
                <w:sz w:val="22"/>
                <w:szCs w:val="22"/>
                <w:highlight w:val="none"/>
              </w:rPr>
            </w:pPr>
            <w:r>
              <w:rPr>
                <w:rFonts w:hint="eastAsia"/>
                <w:sz w:val="22"/>
                <w:szCs w:val="22"/>
                <w:highlight w:val="none"/>
              </w:rPr>
              <w:t xml:space="preserve">项目设施配备</w:t>
            </w:r>
            <w:r/>
          </w:p>
          <w:p>
            <w:pPr>
              <w:jc w:val="center"/>
              <w:spacing w:line="480" w:lineRule="exact"/>
              <w:rPr>
                <w:rFonts w:hint="eastAsia"/>
                <w:color w:val="000000"/>
                <w:sz w:val="22"/>
                <w:szCs w:val="22"/>
                <w:highlight w:val="none"/>
              </w:rPr>
            </w:pPr>
            <w:r>
              <w:rPr>
                <w:color w:val="000000"/>
                <w:sz w:val="22"/>
                <w:szCs w:val="22"/>
                <w:highlight w:val="none"/>
              </w:rPr>
              <w:t xml:space="preserve">（12分）</w:t>
            </w:r>
            <w:r/>
          </w:p>
        </w:tc>
        <w:tc>
          <w:tcPr>
            <w:shd w:val="clear" w:color="auto" w:fill="auto"/>
            <w:tcMar>
              <w:left w:w="15" w:type="dxa"/>
              <w:top w:w="15" w:type="dxa"/>
              <w:right w:w="15" w:type="dxa"/>
              <w:bottom w:w="0" w:type="dxa"/>
            </w:tcMar>
            <w:tcW w:w="6680" w:type="dxa"/>
            <w:vAlign w:val="center"/>
            <w:textDirection w:val="lrTb"/>
            <w:noWrap w:val="false"/>
          </w:tcPr>
          <w:p>
            <w:pPr>
              <w:spacing w:line="288" w:lineRule="auto"/>
              <w:rPr>
                <w:sz w:val="22"/>
                <w:szCs w:val="22"/>
                <w:highlight w:val="none"/>
              </w:rPr>
            </w:pPr>
            <w:r>
              <w:rPr>
                <w:rFonts w:hint="eastAsia"/>
                <w:sz w:val="22"/>
                <w:szCs w:val="22"/>
                <w:highlight w:val="none"/>
              </w:rPr>
              <w:t xml:space="preserve">项目设施配备：</w:t>
            </w:r>
            <w:r/>
          </w:p>
          <w:p>
            <w:pPr>
              <w:pStyle w:val="1039"/>
              <w:ind w:firstLine="0"/>
              <w:jc w:val="both"/>
              <w:keepLines w:val="0"/>
              <w:keepNext w:val="0"/>
              <w:pageBreakBefore w:val="0"/>
              <w:spacing w:before="0"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根据投标人对项目实施过程中拟投入的设备设施进行比较评分。每提供一个得3分，满分12分。</w:t>
            </w:r>
            <w:r/>
          </w:p>
          <w:p>
            <w:pPr>
              <w:spacing w:line="240" w:lineRule="auto"/>
              <w:rPr>
                <w:rFonts w:hint="eastAsia" w:ascii="宋体" w:hAnsi="宋体" w:eastAsia="宋体" w:cs="宋体"/>
                <w:sz w:val="22"/>
                <w:szCs w:val="22"/>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自有设备需提供购买发票复原件扫描件及设备照片，不提供不得分；租赁的设备需提供租赁合同原件扫描件，不提供不得分。</w:t>
            </w:r>
            <w:r/>
          </w:p>
        </w:tc>
        <w:tc>
          <w:tcPr>
            <w:tcW w:w="709" w:type="dxa"/>
            <w:vAlign w:val="center"/>
            <w:textDirection w:val="lrTb"/>
            <w:noWrap w:val="false"/>
          </w:tcPr>
          <w:p>
            <w:pPr>
              <w:jc w:val="center"/>
              <w:spacing w:line="480" w:lineRule="exact"/>
              <w:rPr>
                <w:rFonts w:hint="eastAsia"/>
                <w:color w:val="000000"/>
                <w:highlight w:val="none"/>
              </w:rPr>
            </w:pPr>
            <w:r>
              <w:rPr>
                <w:color w:val="000000"/>
                <w:highlight w:val="none"/>
              </w:rPr>
              <w:t xml:space="preserve">12</w:t>
            </w:r>
            <w:r/>
          </w:p>
        </w:tc>
      </w:tr>
    </w:tbl>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w:t>
      </w:r>
      <w:r/>
    </w:p>
    <w:p>
      <w:pPr>
        <w:ind w:firstLine="415"/>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p>
    <w:p>
      <w:pPr>
        <w:ind w:firstLine="415"/>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2、政策功能：</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 本项目专门面向中小企业采购，供应商应为中小微企业、监狱企业、残疾人福利性单位。</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小企业（含小型、微型企业）应当符合以下条件：</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（2）提供本企业制造的货物、承担的工程或者服务，或者提供</w:t>
      </w:r>
      <w:r>
        <w:rPr>
          <w:rFonts w:hint="eastAsia"/>
          <w:color w:val="auto"/>
          <w:sz w:val="24"/>
          <w:szCs w:val="24"/>
          <w:highlight w:val="none"/>
          <w:lang w:eastAsia="zh-CN"/>
        </w:rPr>
        <w:t xml:space="preserve">其它</w:t>
      </w:r>
      <w:r>
        <w:rPr>
          <w:rFonts w:hint="eastAsia" w:ascii="宋体" w:hAnsi="宋体"/>
          <w:color w:val="auto"/>
          <w:sz w:val="24"/>
          <w:szCs w:val="24"/>
          <w:highlight w:val="none"/>
        </w:rPr>
        <w:t xml:space="preserve">小企业制造的货物。如果提供的货物为大中型企业注册商标的货物，视同大中型企业。</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（3）在货物采购项目中，供应商提供的货物既有中小企业制造货物，也有大型企业制造货物的，不享受本办法规定的中小企业扶持政策。</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 监狱和戒毒企业   </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 残疾人福利性单位 </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 监狱企业、残疾人福利单位属于小型、微型企业的，不重复享受政策。</w:t>
      </w:r>
      <w:r/>
    </w:p>
    <w:p>
      <w:pPr>
        <w:ind w:firstLine="415"/>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 价格扣除</w:t>
      </w:r>
      <w:r/>
    </w:p>
    <w:p>
      <w:pPr>
        <w:ind w:firstLine="41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对国家认定的节能产品和环保产品分别给予投标价的5%价格扣除，用扣除后的价格参与评审。</w:t>
      </w:r>
      <w:r/>
    </w:p>
    <w:p>
      <w:pPr>
        <w:ind w:firstLine="415"/>
        <w:spacing w:line="400" w:lineRule="exac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15"/>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42" w:lineRule="auto"/>
        <w:rPr>
          <w:rFonts w:hint="default" w:ascii="Times New Roman" w:hAnsi="Times New Roman" w:eastAsia="宋体" w:cs="Times New Roman"/>
          <w:color w:val="auto"/>
          <w:sz w:val="21"/>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1"/>
          <w:highlight w:val="none"/>
        </w:rPr>
      </w:r>
      <w:r/>
    </w:p>
    <w:p>
      <w:pPr>
        <w:pStyle w:val="817"/>
        <w:spacing w:before="1"/>
        <w:rPr>
          <w:rFonts w:hint="default" w:ascii="Times New Roman" w:hAnsi="Times New Roman" w:eastAsia="宋体" w:cs="Times New Roman"/>
          <w:b/>
          <w:color w:val="auto"/>
          <w:sz w:val="12"/>
          <w:highlight w:val="none"/>
        </w:rPr>
      </w:pPr>
      <w:r>
        <w:rPr>
          <w:rFonts w:hint="default" w:ascii="Times New Roman" w:hAnsi="Times New Roman" w:eastAsia="宋体" w:cs="Times New Roman"/>
          <w:b/>
          <w:color w:val="auto"/>
          <w:sz w:val="12"/>
          <w:highlight w:val="none"/>
        </w:rPr>
      </w:r>
      <w:r/>
    </w:p>
    <w:p>
      <w:pPr>
        <w:ind w:left="268" w:right="297"/>
        <w:jc w:val="center"/>
        <w:spacing w:before="58"/>
        <w:rPr>
          <w:rFonts w:hint="default" w:ascii="Times New Roman" w:hAnsi="Times New Roman" w:eastAsia="宋体" w:cs="Times New Roman"/>
          <w:b/>
          <w:color w:val="auto"/>
          <w:sz w:val="36"/>
          <w:szCs w:val="36"/>
          <w:highlight w:val="none"/>
        </w:rPr>
        <w:outlineLvl w:val="0"/>
      </w:pPr>
      <w:r/>
      <w:bookmarkStart w:id="203" w:name="_bookmark12"/>
      <w:r/>
      <w:bookmarkEnd w:id="203"/>
      <w:r/>
      <w:bookmarkStart w:id="204" w:name="第五章_南京市江宁区政府采购合同格式"/>
      <w:r/>
      <w:bookmarkEnd w:id="204"/>
      <w:r/>
      <w:bookmarkStart w:id="205" w:name="_Toc9170_WPSOffice_Level1"/>
      <w:r/>
      <w:bookmarkStart w:id="206" w:name="_Toc6299"/>
      <w:r/>
      <w:bookmarkStart w:id="207" w:name="_Toc18450"/>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五</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color w:val="auto"/>
          <w:spacing w:val="-2"/>
          <w:sz w:val="36"/>
          <w:szCs w:val="36"/>
          <w:highlight w:val="none"/>
        </w:rPr>
        <w:t xml:space="preserve">采购合同格式</w:t>
      </w:r>
      <w:bookmarkEnd w:id="205"/>
      <w:r/>
      <w:bookmarkEnd w:id="206"/>
      <w:r/>
      <w:bookmarkEnd w:id="207"/>
      <w:r/>
      <w:r/>
    </w:p>
    <w:p>
      <w:pPr>
        <w:pStyle w:val="817"/>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817"/>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ind w:right="322"/>
        <w:jc w:val="center"/>
        <w:spacing w:before="64" w:line="266" w:lineRule="auto"/>
        <w:rPr>
          <w:rFonts w:hint="default" w:ascii="Times New Roman" w:hAnsi="Times New Roman" w:eastAsia="宋体" w:cs="Times New Roman"/>
          <w:color w:val="auto"/>
          <w:spacing w:val="1"/>
          <w:position w:val="1"/>
          <w:sz w:val="44"/>
          <w:szCs w:val="44"/>
          <w:highlight w:val="none"/>
        </w:rPr>
      </w:pPr>
      <w:r>
        <w:rPr>
          <w:rFonts w:hint="default" w:ascii="Times New Roman" w:hAnsi="Times New Roman" w:eastAsia="宋体" w:cs="Times New Roman"/>
          <w:color w:val="auto"/>
          <w:spacing w:val="1"/>
          <w:position w:val="1"/>
          <w:sz w:val="44"/>
          <w:szCs w:val="44"/>
          <w:highlight w:val="none"/>
        </w:rPr>
      </w:r>
      <w:r/>
    </w:p>
    <w:p>
      <w:pPr>
        <w:jc w:val="center"/>
        <w:spacing w:line="480" w:lineRule="auto"/>
        <w:rPr>
          <w:rFonts w:hint="eastAsia" w:ascii="宋体" w:hAnsi="宋体" w:eastAsia="宋体" w:cs="宋体"/>
          <w:b/>
          <w:bCs/>
          <w:color w:val="auto"/>
          <w:sz w:val="52"/>
          <w:highlight w:val="none"/>
        </w:rPr>
        <w:outlineLvl w:val="1"/>
      </w:pPr>
      <w:r/>
      <w:bookmarkStart w:id="208" w:name="_Toc13501_WPSOffice_Level1"/>
      <w:r/>
      <w:bookmarkStart w:id="209" w:name="_Toc24395"/>
      <w:r>
        <w:rPr>
          <w:rFonts w:hint="eastAsia" w:ascii="宋体" w:hAnsi="宋体" w:eastAsia="宋体" w:cs="宋体"/>
          <w:b/>
          <w:bCs/>
          <w:color w:val="auto"/>
          <w:sz w:val="52"/>
          <w:highlight w:val="none"/>
          <w:lang w:eastAsia="zh-CN"/>
        </w:rPr>
        <w:t xml:space="preserve">政府</w:t>
      </w:r>
      <w:r>
        <w:rPr>
          <w:rFonts w:hint="eastAsia" w:ascii="宋体" w:hAnsi="宋体" w:eastAsia="宋体" w:cs="宋体"/>
          <w:b/>
          <w:bCs/>
          <w:color w:val="auto"/>
          <w:sz w:val="52"/>
          <w:highlight w:val="none"/>
        </w:rPr>
        <w:t xml:space="preserve">采购合同</w:t>
      </w:r>
      <w:r/>
    </w:p>
    <w:p>
      <w:pPr>
        <w:ind w:firstLine="1600"/>
        <w:spacing w:line="480" w:lineRule="auto"/>
        <w:rPr>
          <w:rFonts w:hint="eastAsia" w:ascii="宋体" w:hAnsi="宋体" w:eastAsia="宋体" w:cs="宋体"/>
          <w:b w:val="0"/>
          <w:bCs w:val="0"/>
          <w:color w:val="auto"/>
          <w:sz w:val="32"/>
          <w:highlight w:val="none"/>
        </w:rPr>
        <w:outlineLvl w:val="9"/>
      </w:pPr>
      <w:r>
        <w:rPr>
          <w:rFonts w:hint="eastAsia" w:ascii="宋体" w:hAnsi="宋体" w:eastAsia="宋体" w:cs="宋体"/>
          <w:b w:val="0"/>
          <w:bCs w:val="0"/>
          <w:color w:val="auto"/>
          <w:sz w:val="32"/>
          <w:highlight w:val="none"/>
        </w:rPr>
      </w:r>
      <w:r/>
    </w:p>
    <w:p>
      <w:pPr>
        <w:rPr>
          <w:rFonts w:hint="eastAsia" w:ascii="宋体" w:hAnsi="宋体" w:eastAsia="宋体" w:cs="宋体"/>
          <w:b w:val="0"/>
          <w:bCs w:val="0"/>
          <w:color w:val="auto"/>
          <w:sz w:val="32"/>
          <w:highlight w:val="none"/>
        </w:rPr>
        <w:outlineLvl w:val="9"/>
      </w:pPr>
      <w:r>
        <w:rPr>
          <w:rFonts w:hint="eastAsia" w:ascii="宋体" w:hAnsi="宋体" w:eastAsia="宋体" w:cs="宋体"/>
          <w:b w:val="0"/>
          <w:bCs w:val="0"/>
          <w:color w:val="auto"/>
          <w:sz w:val="32"/>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rPr>
          <w:rFonts w:hint="eastAsia" w:ascii="宋体" w:hAnsi="宋体" w:eastAsia="宋体" w:cs="宋体"/>
          <w:b w:val="0"/>
          <w:bCs w:val="0"/>
          <w:color w:val="auto"/>
          <w:sz w:val="36"/>
          <w:highlight w:val="none"/>
        </w:rPr>
        <w:outlineLvl w:val="9"/>
      </w:pPr>
      <w:r>
        <w:rPr>
          <w:rFonts w:hint="eastAsia" w:ascii="宋体" w:hAnsi="宋体" w:eastAsia="宋体" w:cs="宋体"/>
          <w:b w:val="0"/>
          <w:bCs w:val="0"/>
          <w:color w:val="auto"/>
          <w:sz w:val="36"/>
          <w:highlight w:val="none"/>
        </w:rPr>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rPr>
        <w:outlineLvl w:val="1"/>
      </w:pPr>
      <w:r>
        <w:rPr>
          <w:rFonts w:hint="eastAsia" w:cs="宋体"/>
          <w:b w:val="0"/>
          <w:bCs w:val="0"/>
          <w:color w:val="auto"/>
          <w:sz w:val="28"/>
          <w:szCs w:val="20"/>
          <w:highlight w:val="none"/>
          <w:lang w:eastAsia="zh-CN"/>
        </w:rPr>
        <w:t xml:space="preserve">合同编号</w:t>
      </w:r>
      <w:r>
        <w:rPr>
          <w:rFonts w:hint="eastAsia" w:ascii="宋体" w:hAnsi="宋体" w:eastAsia="宋体" w:cs="宋体"/>
          <w:b w:val="0"/>
          <w:bCs w:val="0"/>
          <w:color w:val="auto"/>
          <w:sz w:val="28"/>
          <w:szCs w:val="20"/>
          <w:highlight w:val="none"/>
        </w:rPr>
        <w:t xml:space="preserve"> ：</w:t>
      </w:r>
      <w:r>
        <w:rPr>
          <w:rFonts w:hint="eastAsia" w:ascii="宋体" w:hAnsi="宋体" w:eastAsia="宋体" w:cs="宋体"/>
          <w:b w:val="0"/>
          <w:bCs w:val="0"/>
          <w:color w:val="auto"/>
          <w:sz w:val="28"/>
          <w:szCs w:val="20"/>
          <w:highlight w:val="none"/>
          <w:lang w:val="en-US"/>
        </w:rPr>
        <w:t xml:space="preserve"> </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rPr>
        <w:t xml:space="preserve">项目名称 ：</w:t>
      </w:r>
      <w:r>
        <w:rPr>
          <w:rFonts w:hint="eastAsia" w:cs="宋体"/>
          <w:b w:val="0"/>
          <w:bCs w:val="0"/>
          <w:color w:val="auto"/>
          <w:sz w:val="28"/>
          <w:szCs w:val="20"/>
          <w:highlight w:val="none"/>
          <w:lang w:val="en-US" w:eastAsia="zh-CN"/>
        </w:rPr>
        <w:t xml:space="preserve">江宁区松树钻蛀类害虫系统调查项目</w:t>
      </w:r>
      <w:r/>
    </w:p>
    <w:p>
      <w:pPr>
        <w:ind w:firstLine="560"/>
        <w:keepLines w:val="0"/>
        <w:keepNext w:val="0"/>
        <w:pageBreakBefore w:val="0"/>
        <w:spacing w:line="360" w:lineRule="auto"/>
        <w:widowControl w:val="off"/>
        <w:rPr>
          <w:rFonts w:hint="default" w:cs="宋体"/>
          <w:b w:val="0"/>
          <w:bCs w:val="0"/>
          <w:color w:val="auto"/>
          <w:sz w:val="28"/>
          <w:szCs w:val="20"/>
          <w:highlight w:val="none"/>
          <w:lang w:val="en-US" w:eastAsia="zh-CN"/>
        </w:rPr>
        <w:outlineLvl w:val="1"/>
      </w:pPr>
      <w:r>
        <w:rPr>
          <w:rFonts w:hint="eastAsia" w:cs="宋体"/>
          <w:b w:val="0"/>
          <w:bCs w:val="0"/>
          <w:color w:val="auto"/>
          <w:sz w:val="28"/>
          <w:szCs w:val="20"/>
          <w:highlight w:val="none"/>
          <w:lang w:eastAsia="zh-CN"/>
        </w:rPr>
        <w:t xml:space="preserve">采购</w:t>
      </w:r>
      <w:r>
        <w:rPr>
          <w:rFonts w:hint="eastAsia" w:ascii="宋体" w:hAnsi="宋体" w:eastAsia="宋体" w:cs="宋体"/>
          <w:b w:val="0"/>
          <w:bCs w:val="0"/>
          <w:color w:val="auto"/>
          <w:sz w:val="28"/>
          <w:szCs w:val="20"/>
          <w:highlight w:val="none"/>
        </w:rPr>
        <w:t xml:space="preserve">单位 ：</w:t>
      </w:r>
      <w:r>
        <w:rPr>
          <w:rFonts w:hint="eastAsia" w:cs="宋体"/>
          <w:b w:val="0"/>
          <w:bCs w:val="0"/>
          <w:color w:val="auto"/>
          <w:sz w:val="28"/>
          <w:szCs w:val="20"/>
          <w:highlight w:val="none"/>
          <w:lang w:eastAsia="zh-CN"/>
        </w:rPr>
        <w:t xml:space="preserve">南京市江宁区农业农村局</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rPr>
        <w:outlineLvl w:val="1"/>
      </w:pPr>
      <w:r>
        <w:rPr>
          <w:rFonts w:hint="eastAsia" w:cs="宋体"/>
          <w:b w:val="0"/>
          <w:bCs w:val="0"/>
          <w:color w:val="auto"/>
          <w:sz w:val="28"/>
          <w:szCs w:val="20"/>
          <w:highlight w:val="none"/>
          <w:lang w:eastAsia="zh-CN"/>
        </w:rPr>
        <w:t xml:space="preserve">成交</w:t>
      </w:r>
      <w:r>
        <w:rPr>
          <w:rFonts w:hint="eastAsia" w:ascii="宋体" w:hAnsi="宋体" w:eastAsia="宋体" w:cs="宋体"/>
          <w:b w:val="0"/>
          <w:bCs w:val="0"/>
          <w:color w:val="auto"/>
          <w:sz w:val="28"/>
          <w:szCs w:val="20"/>
          <w:highlight w:val="none"/>
        </w:rPr>
        <w:t xml:space="preserve">单位 ：</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rPr>
        <w:t xml:space="preserve">签订日期 ：</w:t>
      </w:r>
      <w:r/>
    </w:p>
    <w:p>
      <w:pPr>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r>
      <w:r/>
    </w:p>
    <w:p>
      <w:pPr>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r>
      <w:r/>
    </w:p>
    <w:p>
      <w:pPr>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r>
      <w:r/>
    </w:p>
    <w:p>
      <w:pPr>
        <w:jc w:val="center"/>
        <w:rPr>
          <w:rFonts w:ascii="宋体" w:hAnsi="宋体" w:cs="宋体"/>
          <w:b/>
          <w:bCs/>
          <w:sz w:val="32"/>
          <w:szCs w:val="32"/>
          <w:highlight w:val="none"/>
        </w:rPr>
      </w:pPr>
      <w:r/>
      <w:bookmarkStart w:id="210" w:name="_Toc32099"/>
      <w:r>
        <w:rPr>
          <w:rFonts w:hint="eastAsia" w:ascii="宋体" w:hAnsi="宋体" w:cs="宋体"/>
          <w:b/>
          <w:bCs/>
          <w:sz w:val="32"/>
          <w:szCs w:val="32"/>
          <w:highlight w:val="none"/>
        </w:rPr>
        <w:t xml:space="preserve">政府采购合同</w:t>
      </w:r>
      <w:r/>
    </w:p>
    <w:p>
      <w:pPr>
        <w:jc w:val="center"/>
        <w:rPr>
          <w:rFonts w:ascii="宋体" w:hAnsi="宋体" w:cs="宋体"/>
          <w:highlight w:val="none"/>
        </w:rPr>
      </w:pPr>
      <w:r>
        <w:rPr>
          <w:rFonts w:hint="eastAsia" w:ascii="宋体" w:hAnsi="宋体" w:cs="宋体"/>
          <w:highlight w:val="none"/>
        </w:rPr>
        <w:t xml:space="preserve">（具体合同条款由采购人和供应商依据招投标文件拟定，本件仅供格式参考）</w:t>
      </w:r>
      <w:r/>
    </w:p>
    <w:p>
      <w:pPr>
        <w:ind w:firstLine="210"/>
        <w:spacing w:line="360" w:lineRule="auto"/>
        <w:rPr>
          <w:rFonts w:ascii="宋体" w:hAnsi="宋体" w:cs="宋体"/>
          <w:highlight w:val="none"/>
        </w:rPr>
      </w:pPr>
      <w:r>
        <w:rPr>
          <w:rFonts w:hint="eastAsia" w:ascii="宋体" w:hAnsi="宋体" w:cs="宋体"/>
          <w:highlight w:val="none"/>
        </w:rPr>
        <w:t xml:space="preserve">采购人：（以下称甲方）                       </w:t>
      </w:r>
      <w:r/>
    </w:p>
    <w:p>
      <w:pPr>
        <w:ind w:firstLine="210"/>
        <w:spacing w:line="360" w:lineRule="auto"/>
        <w:rPr>
          <w:rFonts w:ascii="宋体" w:hAnsi="宋体" w:cs="宋体"/>
          <w:highlight w:val="none"/>
        </w:rPr>
      </w:pPr>
      <w:r>
        <w:rPr>
          <w:rFonts w:hint="eastAsia" w:ascii="宋体" w:hAnsi="宋体" w:cs="宋体"/>
          <w:highlight w:val="none"/>
        </w:rPr>
        <w:t xml:space="preserve">住所地：</w:t>
      </w:r>
      <w:r/>
    </w:p>
    <w:p>
      <w:pPr>
        <w:ind w:firstLine="210"/>
        <w:spacing w:line="360" w:lineRule="auto"/>
        <w:rPr>
          <w:rFonts w:ascii="宋体" w:hAnsi="宋体" w:cs="宋体"/>
          <w:highlight w:val="none"/>
        </w:rPr>
      </w:pPr>
      <w:r>
        <w:rPr>
          <w:rFonts w:hint="eastAsia" w:ascii="宋体" w:hAnsi="宋体" w:cs="宋体"/>
          <w:highlight w:val="none"/>
        </w:rPr>
        <w:t xml:space="preserve">供应商：（以下称乙方）</w:t>
      </w:r>
      <w:r/>
    </w:p>
    <w:p>
      <w:pPr>
        <w:ind w:firstLine="210"/>
        <w:spacing w:line="360" w:lineRule="auto"/>
        <w:rPr>
          <w:rFonts w:ascii="宋体" w:hAnsi="宋体" w:cs="宋体"/>
          <w:highlight w:val="none"/>
        </w:rPr>
      </w:pPr>
      <w:r>
        <w:rPr>
          <w:rFonts w:hint="eastAsia" w:ascii="宋体" w:hAnsi="宋体" w:cs="宋体"/>
          <w:highlight w:val="none"/>
        </w:rPr>
        <w:t xml:space="preserve">住所地：</w:t>
      </w:r>
      <w:r/>
    </w:p>
    <w:p>
      <w:pPr>
        <w:ind w:firstLine="420"/>
        <w:jc w:val="left"/>
        <w:spacing w:line="360" w:lineRule="auto"/>
        <w:rPr>
          <w:rFonts w:ascii="宋体" w:hAnsi="宋体" w:cs="宋体"/>
          <w:highlight w:val="none"/>
        </w:rPr>
      </w:pPr>
      <w:r>
        <w:rPr>
          <w:rFonts w:hint="eastAsia" w:ascii="宋体" w:hAnsi="宋体" w:cs="宋体"/>
          <w:highlight w:val="none"/>
        </w:rPr>
        <w:t xml:space="preserve">根据《中华人民共和国政府采购法》、《中华人民共和国民法典》等法律法规的规定，甲、乙双方按照南京逸凡工程管理咨询有限公司的采购结果签订本合同。</w:t>
      </w:r>
      <w:r/>
    </w:p>
    <w:p>
      <w:pPr>
        <w:numPr>
          <w:ilvl w:val="0"/>
          <w:numId w:val="6"/>
        </w:numPr>
        <w:rPr>
          <w:rFonts w:ascii="仿宋" w:hAnsi="仿宋"/>
          <w:b/>
          <w:bCs/>
          <w:szCs w:val="28"/>
          <w:highlight w:val="none"/>
        </w:rPr>
      </w:pPr>
      <w:r>
        <w:rPr>
          <w:rFonts w:hint="eastAsia" w:ascii="仿宋" w:hAnsi="仿宋"/>
          <w:b/>
          <w:bCs/>
          <w:szCs w:val="28"/>
          <w:highlight w:val="none"/>
        </w:rPr>
        <w:t xml:space="preserve"> </w:t>
      </w:r>
      <w:r>
        <w:rPr>
          <w:rFonts w:ascii="仿宋" w:hAnsi="仿宋"/>
          <w:b/>
          <w:bCs/>
          <w:szCs w:val="28"/>
          <w:highlight w:val="none"/>
        </w:rPr>
        <w:t xml:space="preserve">合同标的 </w:t>
      </w:r>
      <w:r/>
    </w:p>
    <w:p>
      <w:pPr>
        <w:rPr>
          <w:rFonts w:ascii="仿宋" w:hAnsi="仿宋"/>
          <w:szCs w:val="28"/>
          <w:highlight w:val="none"/>
        </w:rPr>
      </w:pPr>
      <w:r>
        <w:rPr>
          <w:rFonts w:ascii="仿宋" w:hAnsi="仿宋"/>
          <w:szCs w:val="28"/>
          <w:highlight w:val="none"/>
        </w:rPr>
        <w:t xml:space="preserve">乙方根据甲方需求提供下列</w:t>
      </w:r>
      <w:r>
        <w:rPr>
          <w:rFonts w:hint="eastAsia" w:ascii="仿宋" w:hAnsi="仿宋"/>
          <w:szCs w:val="28"/>
          <w:highlight w:val="none"/>
        </w:rPr>
        <w:t xml:space="preserve">服务</w:t>
      </w:r>
      <w:r>
        <w:rPr>
          <w:rFonts w:ascii="仿宋" w:hAnsi="仿宋"/>
          <w:szCs w:val="28"/>
          <w:highlight w:val="none"/>
        </w:rPr>
        <w:t xml:space="preserve">： </w:t>
      </w:r>
      <w:r/>
    </w:p>
    <w:tbl>
      <w:tblPr>
        <w:tblStyle w:val="812"/>
        <w:tblW w:w="95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jc w:val="center"/>
              <w:rPr>
                <w:rFonts w:ascii="仿宋" w:hAnsi="仿宋"/>
                <w:szCs w:val="28"/>
                <w:highlight w:val="none"/>
              </w:rPr>
            </w:pPr>
            <w:r>
              <w:rPr>
                <w:rFonts w:ascii="仿宋" w:hAnsi="仿宋"/>
                <w:szCs w:val="28"/>
                <w:highlight w:val="none"/>
              </w:rPr>
              <w:t xml:space="preserve">序号</w:t>
            </w:r>
            <w:r/>
          </w:p>
        </w:tc>
        <w:tc>
          <w:tcPr>
            <w:tcW w:w="4595" w:type="dxa"/>
            <w:vAlign w:val="center"/>
            <w:textDirection w:val="lrTb"/>
            <w:noWrap w:val="false"/>
          </w:tcPr>
          <w:p>
            <w:pPr>
              <w:jc w:val="center"/>
              <w:rPr>
                <w:rFonts w:ascii="仿宋" w:hAnsi="仿宋"/>
                <w:szCs w:val="28"/>
                <w:highlight w:val="none"/>
              </w:rPr>
            </w:pPr>
            <w:r>
              <w:rPr>
                <w:rFonts w:ascii="仿宋" w:hAnsi="仿宋"/>
                <w:szCs w:val="28"/>
                <w:highlight w:val="none"/>
              </w:rPr>
              <w:t xml:space="preserve">名称</w:t>
            </w:r>
            <w:r/>
          </w:p>
        </w:tc>
        <w:tc>
          <w:tcPr>
            <w:tcW w:w="983" w:type="dxa"/>
            <w:vAlign w:val="center"/>
            <w:textDirection w:val="lrTb"/>
            <w:noWrap w:val="false"/>
          </w:tcPr>
          <w:p>
            <w:pPr>
              <w:jc w:val="center"/>
              <w:rPr>
                <w:rFonts w:ascii="仿宋" w:hAnsi="仿宋"/>
                <w:szCs w:val="28"/>
                <w:highlight w:val="none"/>
              </w:rPr>
            </w:pPr>
            <w:r>
              <w:rPr>
                <w:rFonts w:ascii="仿宋" w:hAnsi="仿宋"/>
                <w:szCs w:val="28"/>
                <w:highlight w:val="none"/>
              </w:rPr>
              <w:t xml:space="preserve">数量</w:t>
            </w:r>
            <w:r/>
          </w:p>
        </w:tc>
        <w:tc>
          <w:tcPr>
            <w:tcW w:w="973" w:type="dxa"/>
            <w:vAlign w:val="center"/>
            <w:textDirection w:val="lrTb"/>
            <w:noWrap w:val="false"/>
          </w:tcPr>
          <w:p>
            <w:pPr>
              <w:jc w:val="center"/>
              <w:rPr>
                <w:rFonts w:ascii="仿宋" w:hAnsi="仿宋"/>
                <w:szCs w:val="28"/>
                <w:highlight w:val="none"/>
              </w:rPr>
            </w:pPr>
            <w:r>
              <w:rPr>
                <w:rFonts w:ascii="仿宋" w:hAnsi="仿宋"/>
                <w:szCs w:val="28"/>
                <w:highlight w:val="none"/>
              </w:rPr>
              <w:t xml:space="preserve">单位</w:t>
            </w:r>
            <w:r/>
          </w:p>
        </w:tc>
        <w:tc>
          <w:tcPr>
            <w:tcW w:w="2227" w:type="dxa"/>
            <w:vAlign w:val="center"/>
            <w:textDirection w:val="lrTb"/>
            <w:noWrap w:val="false"/>
          </w:tcPr>
          <w:p>
            <w:pPr>
              <w:jc w:val="center"/>
              <w:rPr>
                <w:rFonts w:ascii="仿宋" w:hAnsi="仿宋"/>
                <w:szCs w:val="28"/>
                <w:highlight w:val="none"/>
              </w:rPr>
            </w:pPr>
            <w:r>
              <w:rPr>
                <w:rFonts w:hint="eastAsia" w:ascii="仿宋" w:hAnsi="仿宋"/>
                <w:szCs w:val="28"/>
                <w:highlight w:val="none"/>
              </w:rPr>
              <w:t xml:space="preserve">总价（元）</w:t>
            </w:r>
            <w:r/>
          </w:p>
        </w:tc>
      </w:tr>
      <w:tr>
        <w:trPr/>
        <w:tc>
          <w:tcPr>
            <w:tcW w:w="817" w:type="dxa"/>
            <w:vAlign w:val="center"/>
            <w:textDirection w:val="lrTb"/>
            <w:noWrap w:val="false"/>
          </w:tcPr>
          <w:p>
            <w:pPr>
              <w:jc w:val="center"/>
              <w:rPr>
                <w:rFonts w:ascii="仿宋" w:hAnsi="仿宋"/>
                <w:szCs w:val="28"/>
                <w:highlight w:val="none"/>
              </w:rPr>
            </w:pPr>
            <w:r>
              <w:rPr>
                <w:rFonts w:hint="eastAsia" w:ascii="仿宋" w:hAnsi="仿宋"/>
                <w:szCs w:val="28"/>
                <w:highlight w:val="none"/>
              </w:rPr>
              <w:t xml:space="preserve">1</w:t>
            </w:r>
            <w:r/>
          </w:p>
        </w:tc>
        <w:tc>
          <w:tcPr>
            <w:tcW w:w="4595" w:type="dxa"/>
            <w:vAlign w:val="center"/>
            <w:textDirection w:val="lrTb"/>
            <w:noWrap w:val="false"/>
          </w:tcPr>
          <w:p>
            <w:pPr>
              <w:jc w:val="center"/>
              <w:rPr>
                <w:rFonts w:ascii="仿宋" w:hAnsi="仿宋"/>
                <w:szCs w:val="28"/>
                <w:highlight w:val="none"/>
              </w:rPr>
            </w:pPr>
            <w:r>
              <w:rPr>
                <w:rFonts w:hint="eastAsia" w:ascii="仿宋" w:hAnsi="仿宋"/>
                <w:szCs w:val="28"/>
                <w:highlight w:val="none"/>
              </w:rPr>
              <w:t xml:space="preserve">江宁区松树钻蛀类害虫系统调查项目</w:t>
            </w:r>
            <w:r/>
          </w:p>
        </w:tc>
        <w:tc>
          <w:tcPr>
            <w:tcW w:w="983" w:type="dxa"/>
            <w:vAlign w:val="center"/>
            <w:textDirection w:val="lrTb"/>
            <w:noWrap w:val="false"/>
          </w:tcPr>
          <w:p>
            <w:pPr>
              <w:jc w:val="center"/>
              <w:rPr>
                <w:rFonts w:ascii="仿宋" w:hAnsi="仿宋"/>
                <w:szCs w:val="28"/>
                <w:highlight w:val="none"/>
              </w:rPr>
            </w:pPr>
            <w:r>
              <w:rPr>
                <w:rFonts w:hint="eastAsia" w:ascii="仿宋" w:hAnsi="仿宋"/>
                <w:szCs w:val="28"/>
                <w:highlight w:val="none"/>
              </w:rPr>
              <w:t xml:space="preserve">1</w:t>
            </w:r>
            <w:r/>
          </w:p>
        </w:tc>
        <w:tc>
          <w:tcPr>
            <w:tcW w:w="973" w:type="dxa"/>
            <w:vAlign w:val="center"/>
            <w:textDirection w:val="lrTb"/>
            <w:noWrap w:val="false"/>
          </w:tcPr>
          <w:p>
            <w:pPr>
              <w:jc w:val="center"/>
              <w:rPr>
                <w:rFonts w:ascii="仿宋" w:hAnsi="仿宋"/>
                <w:szCs w:val="28"/>
                <w:highlight w:val="none"/>
              </w:rPr>
            </w:pPr>
            <w:r>
              <w:rPr>
                <w:rFonts w:hint="eastAsia" w:ascii="仿宋" w:hAnsi="仿宋"/>
                <w:szCs w:val="28"/>
                <w:highlight w:val="none"/>
              </w:rPr>
              <w:t xml:space="preserve">项</w:t>
            </w:r>
            <w:r/>
          </w:p>
        </w:tc>
        <w:tc>
          <w:tcPr>
            <w:tcW w:w="2227" w:type="dxa"/>
            <w:vAlign w:val="center"/>
            <w:textDirection w:val="lrTb"/>
            <w:noWrap w:val="false"/>
          </w:tcPr>
          <w:p>
            <w:pPr>
              <w:jc w:val="center"/>
              <w:rPr>
                <w:rFonts w:ascii="仿宋" w:hAnsi="仿宋"/>
                <w:szCs w:val="28"/>
                <w:highlight w:val="none"/>
              </w:rPr>
            </w:pPr>
            <w:r>
              <w:rPr>
                <w:rFonts w:ascii="仿宋" w:hAnsi="仿宋"/>
                <w:szCs w:val="28"/>
                <w:highlight w:val="none"/>
              </w:rPr>
            </w:r>
            <w:r/>
          </w:p>
        </w:tc>
      </w:tr>
    </w:tbl>
    <w:p>
      <w:pPr>
        <w:rPr>
          <w:rFonts w:ascii="仿宋" w:hAnsi="仿宋"/>
          <w:b/>
          <w:bCs/>
          <w:szCs w:val="28"/>
          <w:highlight w:val="none"/>
        </w:rPr>
      </w:pPr>
      <w:r>
        <w:rPr>
          <w:rFonts w:hint="eastAsia" w:ascii="仿宋" w:hAnsi="仿宋"/>
          <w:szCs w:val="28"/>
          <w:highlight w:val="none"/>
        </w:rPr>
        <w:t xml:space="preserve">分项报价表</w:t>
      </w:r>
      <w:r>
        <w:rPr>
          <w:rFonts w:ascii="仿宋" w:hAnsi="仿宋"/>
          <w:szCs w:val="28"/>
          <w:highlight w:val="none"/>
        </w:rPr>
        <w:t xml:space="preserve">详见乙方响应文件。</w:t>
      </w:r>
      <w:r>
        <w:rPr>
          <w:rFonts w:ascii="仿宋" w:hAnsi="仿宋"/>
          <w:b/>
          <w:bCs/>
          <w:szCs w:val="28"/>
          <w:highlight w:val="none"/>
        </w:rPr>
        <w:t xml:space="preserve"> </w:t>
      </w:r>
      <w:r/>
    </w:p>
    <w:p>
      <w:pPr>
        <w:numPr>
          <w:ilvl w:val="0"/>
          <w:numId w:val="6"/>
        </w:numPr>
        <w:rPr>
          <w:rFonts w:ascii="仿宋" w:hAnsi="仿宋"/>
          <w:b/>
          <w:bCs/>
          <w:szCs w:val="28"/>
          <w:highlight w:val="none"/>
        </w:rPr>
      </w:pPr>
      <w:r>
        <w:rPr>
          <w:rFonts w:hint="eastAsia" w:ascii="仿宋" w:hAnsi="仿宋"/>
          <w:b/>
          <w:bCs/>
          <w:szCs w:val="28"/>
          <w:highlight w:val="none"/>
        </w:rPr>
        <w:t xml:space="preserve"> </w:t>
      </w:r>
      <w:r>
        <w:rPr>
          <w:rFonts w:ascii="仿宋" w:hAnsi="仿宋"/>
          <w:b/>
          <w:bCs/>
          <w:szCs w:val="28"/>
          <w:highlight w:val="none"/>
        </w:rPr>
        <w:t xml:space="preserve">合同总价款 </w:t>
      </w:r>
      <w:r/>
    </w:p>
    <w:p>
      <w:pPr>
        <w:rPr>
          <w:rFonts w:ascii="仿宋" w:hAnsi="仿宋"/>
          <w:szCs w:val="28"/>
          <w:highlight w:val="none"/>
        </w:rPr>
      </w:pPr>
      <w:r>
        <w:rPr>
          <w:rFonts w:ascii="仿宋" w:hAnsi="仿宋"/>
          <w:szCs w:val="28"/>
          <w:highlight w:val="none"/>
        </w:rPr>
        <w:t xml:space="preserve">本合同项下</w:t>
      </w:r>
      <w:r>
        <w:rPr>
          <w:rFonts w:hint="eastAsia" w:ascii="仿宋" w:hAnsi="仿宋"/>
          <w:szCs w:val="28"/>
          <w:highlight w:val="none"/>
        </w:rPr>
        <w:t xml:space="preserve">服务</w:t>
      </w:r>
      <w:r>
        <w:rPr>
          <w:rFonts w:ascii="仿宋" w:hAnsi="仿宋"/>
          <w:szCs w:val="28"/>
          <w:highlight w:val="none"/>
        </w:rPr>
        <w:t xml:space="preserve">总价款为</w:t>
      </w:r>
      <w:r>
        <w:rPr>
          <w:szCs w:val="28"/>
          <w:highlight w:val="none"/>
          <w:u w:val="single"/>
        </w:rPr>
        <w:t xml:space="preserve">   </w:t>
      </w:r>
      <w:r>
        <w:rPr>
          <w:rFonts w:hint="eastAsia"/>
          <w:szCs w:val="28"/>
          <w:highlight w:val="none"/>
          <w:u w:val="single"/>
        </w:rPr>
        <w:t xml:space="preserve">          </w:t>
      </w:r>
      <w:r>
        <w:rPr>
          <w:rFonts w:ascii="仿宋" w:hAnsi="仿宋"/>
          <w:szCs w:val="28"/>
          <w:highlight w:val="none"/>
          <w:u w:val="single"/>
        </w:rPr>
        <w:t xml:space="preserve">（大写）</w:t>
      </w:r>
      <w:r>
        <w:rPr>
          <w:rFonts w:ascii="仿宋" w:hAnsi="仿宋"/>
          <w:szCs w:val="28"/>
          <w:highlight w:val="none"/>
        </w:rPr>
        <w:t xml:space="preserve">人民币，分项价款在“</w:t>
      </w:r>
      <w:r>
        <w:rPr>
          <w:rFonts w:hint="eastAsia" w:ascii="仿宋" w:hAnsi="仿宋"/>
          <w:szCs w:val="28"/>
          <w:highlight w:val="none"/>
        </w:rPr>
        <w:t xml:space="preserve">分项报价表</w:t>
      </w:r>
      <w:r>
        <w:rPr>
          <w:rFonts w:ascii="仿宋" w:hAnsi="仿宋"/>
          <w:szCs w:val="28"/>
          <w:highlight w:val="none"/>
        </w:rPr>
        <w:t xml:space="preserve">”中有明确规定。 </w:t>
      </w:r>
      <w:r/>
    </w:p>
    <w:p>
      <w:pPr>
        <w:spacing w:line="240" w:lineRule="atLeast"/>
        <w:rPr>
          <w:rFonts w:ascii="宋体"/>
          <w:b/>
          <w:szCs w:val="21"/>
          <w:highlight w:val="none"/>
        </w:rPr>
      </w:pPr>
      <w:r>
        <w:rPr>
          <w:rFonts w:hint="eastAsia" w:ascii="宋体"/>
          <w:szCs w:val="21"/>
          <w:highlight w:val="none"/>
        </w:rPr>
        <w:t xml:space="preserve">1、</w:t>
      </w:r>
      <w:r>
        <w:rPr>
          <w:rFonts w:hint="eastAsia" w:ascii="宋体"/>
          <w:szCs w:val="21"/>
          <w:highlight w:val="none"/>
          <w:lang w:val="zh-CN"/>
        </w:rPr>
        <w:t xml:space="preserve">本合同总价款是</w:t>
      </w:r>
      <w:r>
        <w:rPr>
          <w:rFonts w:hint="eastAsia" w:ascii="宋体" w:hAnsi="宋体" w:cs="宋体"/>
          <w:szCs w:val="21"/>
          <w:highlight w:val="none"/>
          <w:lang w:val="zh-CN"/>
        </w:rPr>
        <w:t xml:space="preserve">完成本项目所发生的所有含税费用、支付给员工的工资和国家强制缴纳的各种社会保障资金</w:t>
      </w:r>
      <w:r>
        <w:rPr>
          <w:rFonts w:hint="eastAsia" w:ascii="宋体" w:hAnsi="宋体"/>
          <w:bCs/>
          <w:szCs w:val="21"/>
          <w:highlight w:val="none"/>
        </w:rPr>
        <w:t xml:space="preserve">，以</w:t>
      </w:r>
      <w:r>
        <w:rPr>
          <w:rFonts w:hint="eastAsia" w:ascii="宋体" w:hAnsi="宋体"/>
          <w:szCs w:val="21"/>
          <w:highlight w:val="none"/>
        </w:rPr>
        <w:t xml:space="preserve">及投标人认为需要的其他费用等</w:t>
      </w:r>
      <w:r>
        <w:rPr>
          <w:rFonts w:hint="eastAsia" w:ascii="宋体"/>
          <w:szCs w:val="21"/>
          <w:highlight w:val="none"/>
          <w:lang w:val="zh-CN"/>
        </w:rPr>
        <w:t xml:space="preserve">。</w:t>
      </w:r>
      <w:r/>
    </w:p>
    <w:p>
      <w:pPr>
        <w:jc w:val="left"/>
        <w:spacing w:line="240" w:lineRule="atLeast"/>
        <w:rPr>
          <w:highlight w:val="none"/>
        </w:rPr>
      </w:pPr>
      <w:r>
        <w:rPr>
          <w:rFonts w:hint="eastAsia" w:ascii="宋体"/>
          <w:szCs w:val="21"/>
          <w:highlight w:val="none"/>
        </w:rPr>
        <w:t xml:space="preserve">2、</w:t>
      </w:r>
      <w:r>
        <w:rPr>
          <w:rFonts w:hint="eastAsia" w:ascii="宋体"/>
          <w:szCs w:val="21"/>
          <w:highlight w:val="none"/>
          <w:lang w:val="zh-CN"/>
        </w:rPr>
        <w:t xml:space="preserve">本合同执行期间合同总价款不变。</w:t>
      </w:r>
      <w:r/>
    </w:p>
    <w:p>
      <w:pPr>
        <w:rPr>
          <w:rFonts w:ascii="仿宋" w:hAnsi="仿宋"/>
          <w:szCs w:val="28"/>
          <w:highlight w:val="none"/>
        </w:rPr>
      </w:pPr>
      <w:r>
        <w:rPr>
          <w:rFonts w:hint="eastAsia" w:ascii="仿宋" w:hAnsi="仿宋"/>
          <w:b/>
          <w:bCs/>
          <w:szCs w:val="28"/>
          <w:highlight w:val="none"/>
        </w:rPr>
        <w:t xml:space="preserve">第三条 </w:t>
      </w:r>
      <w:r>
        <w:rPr>
          <w:rFonts w:ascii="仿宋" w:hAnsi="仿宋"/>
          <w:b/>
          <w:bCs/>
          <w:szCs w:val="28"/>
          <w:highlight w:val="none"/>
        </w:rPr>
        <w:t xml:space="preserve">组成本合同的有关文件</w:t>
      </w:r>
      <w:r>
        <w:rPr>
          <w:rFonts w:ascii="仿宋" w:hAnsi="仿宋"/>
          <w:szCs w:val="28"/>
          <w:highlight w:val="none"/>
        </w:rPr>
        <w:t xml:space="preserve"> </w:t>
      </w:r>
      <w:r/>
    </w:p>
    <w:p>
      <w:pPr>
        <w:rPr>
          <w:rFonts w:ascii="仿宋" w:hAnsi="仿宋"/>
          <w:szCs w:val="28"/>
          <w:highlight w:val="none"/>
        </w:rPr>
      </w:pPr>
      <w:r>
        <w:rPr>
          <w:rFonts w:ascii="仿宋" w:hAnsi="仿宋"/>
          <w:szCs w:val="28"/>
          <w:highlight w:val="none"/>
        </w:rPr>
        <w:t xml:space="preserve">下列关于南京市政府采购</w:t>
      </w:r>
      <w:r>
        <w:rPr>
          <w:rFonts w:hint="eastAsia" w:ascii="仿宋" w:hAnsi="仿宋"/>
          <w:szCs w:val="28"/>
          <w:highlight w:val="none"/>
          <w:u w:val="single"/>
        </w:rPr>
        <w:t xml:space="preserve">            </w:t>
      </w:r>
      <w:r>
        <w:rPr>
          <w:rFonts w:ascii="仿宋" w:hAnsi="仿宋"/>
          <w:szCs w:val="28"/>
          <w:highlight w:val="none"/>
        </w:rPr>
        <w:t xml:space="preserve">（项目编号）的采购文件、响应文件或与本次采购活动方式相适应的文件及有关附件是本合同不可分割的组成部分，与本合同具有同等法律效力，这些文件包括但不限于： </w:t>
      </w:r>
      <w:r/>
    </w:p>
    <w:p>
      <w:pPr>
        <w:rPr>
          <w:rFonts w:ascii="仿宋" w:hAnsi="仿宋"/>
          <w:szCs w:val="28"/>
          <w:highlight w:val="none"/>
        </w:rPr>
      </w:pPr>
      <w:r>
        <w:rPr>
          <w:rFonts w:ascii="仿宋" w:hAnsi="仿宋"/>
          <w:szCs w:val="28"/>
          <w:highlight w:val="none"/>
        </w:rPr>
        <w:t xml:space="preserve">（1）乙方提供的响应文件和报价表； </w:t>
      </w:r>
      <w:r/>
    </w:p>
    <w:p>
      <w:pPr>
        <w:rPr>
          <w:rFonts w:ascii="仿宋" w:hAnsi="仿宋"/>
          <w:szCs w:val="28"/>
          <w:highlight w:val="none"/>
        </w:rPr>
      </w:pPr>
      <w:r>
        <w:rPr>
          <w:rFonts w:ascii="仿宋" w:hAnsi="仿宋"/>
          <w:szCs w:val="28"/>
          <w:highlight w:val="none"/>
        </w:rPr>
        <w:t xml:space="preserve">（2）技术规格响应表； </w:t>
      </w:r>
      <w:r/>
    </w:p>
    <w:p>
      <w:pPr>
        <w:rPr>
          <w:rFonts w:ascii="仿宋" w:hAnsi="仿宋"/>
          <w:szCs w:val="28"/>
          <w:highlight w:val="none"/>
        </w:rPr>
      </w:pPr>
      <w:r>
        <w:rPr>
          <w:rFonts w:ascii="仿宋" w:hAnsi="仿宋"/>
          <w:szCs w:val="28"/>
          <w:highlight w:val="none"/>
        </w:rPr>
        <w:t xml:space="preserve">（3）</w:t>
      </w:r>
      <w:r>
        <w:rPr>
          <w:rFonts w:hint="eastAsia" w:ascii="仿宋" w:hAnsi="仿宋"/>
          <w:szCs w:val="28"/>
          <w:highlight w:val="none"/>
        </w:rPr>
        <w:t xml:space="preserve">投标</w:t>
      </w:r>
      <w:r>
        <w:rPr>
          <w:rFonts w:ascii="仿宋" w:hAnsi="仿宋"/>
          <w:szCs w:val="28"/>
          <w:highlight w:val="none"/>
        </w:rPr>
        <w:t xml:space="preserve">承诺/服务承诺； </w:t>
      </w:r>
      <w:r/>
    </w:p>
    <w:p>
      <w:pPr>
        <w:rPr>
          <w:rFonts w:ascii="仿宋" w:hAnsi="仿宋"/>
          <w:szCs w:val="28"/>
          <w:highlight w:val="none"/>
        </w:rPr>
      </w:pPr>
      <w:r>
        <w:rPr>
          <w:rFonts w:ascii="仿宋" w:hAnsi="仿宋"/>
          <w:szCs w:val="28"/>
          <w:highlight w:val="none"/>
        </w:rPr>
        <w:t xml:space="preserve">（4）成交通知书； </w:t>
      </w:r>
      <w:r/>
    </w:p>
    <w:p>
      <w:pPr>
        <w:rPr>
          <w:rFonts w:ascii="仿宋" w:hAnsi="仿宋"/>
          <w:szCs w:val="28"/>
          <w:highlight w:val="none"/>
        </w:rPr>
      </w:pPr>
      <w:r>
        <w:rPr>
          <w:rFonts w:ascii="仿宋" w:hAnsi="仿宋"/>
          <w:szCs w:val="28"/>
          <w:highlight w:val="none"/>
        </w:rPr>
        <w:t xml:space="preserve">（5）甲乙双方商定的其他文件等。 </w:t>
      </w:r>
      <w:r/>
    </w:p>
    <w:p>
      <w:pPr>
        <w:rPr>
          <w:rFonts w:ascii="仿宋" w:hAnsi="仿宋"/>
          <w:b/>
          <w:bCs/>
          <w:szCs w:val="28"/>
          <w:highlight w:val="none"/>
        </w:rPr>
      </w:pPr>
      <w:r>
        <w:rPr>
          <w:rFonts w:ascii="仿宋" w:hAnsi="仿宋"/>
          <w:b/>
          <w:bCs/>
          <w:szCs w:val="28"/>
          <w:highlight w:val="none"/>
        </w:rPr>
        <w:t xml:space="preserve">第四条 履行合同期限、地点 </w:t>
      </w:r>
      <w:r/>
    </w:p>
    <w:p>
      <w:pPr>
        <w:rPr>
          <w:rFonts w:ascii="仿宋" w:hAnsi="仿宋"/>
          <w:szCs w:val="28"/>
          <w:highlight w:val="none"/>
        </w:rPr>
      </w:pPr>
      <w:r>
        <w:rPr>
          <w:rFonts w:ascii="仿宋" w:hAnsi="仿宋"/>
          <w:szCs w:val="28"/>
          <w:highlight w:val="none"/>
        </w:rPr>
        <w:t xml:space="preserve">1.履行合同期限：</w:t>
      </w:r>
      <w:r>
        <w:rPr>
          <w:rFonts w:ascii="仿宋" w:hAnsi="仿宋"/>
          <w:szCs w:val="28"/>
          <w:highlight w:val="none"/>
          <w:u w:val="single"/>
        </w:rPr>
        <w:t xml:space="preserve"> </w:t>
      </w:r>
      <w:r>
        <w:rPr>
          <w:rFonts w:hint="eastAsia" w:ascii="仿宋" w:hAnsi="仿宋"/>
          <w:szCs w:val="28"/>
          <w:highlight w:val="none"/>
          <w:u w:val="single"/>
        </w:rPr>
        <w:t xml:space="preserve">       年     月    日起至     年    月    日止</w:t>
      </w:r>
      <w:r/>
    </w:p>
    <w:p>
      <w:pPr>
        <w:rPr>
          <w:rFonts w:hint="default" w:ascii="仿宋" w:hAnsi="仿宋" w:eastAsia="宋体"/>
          <w:szCs w:val="28"/>
          <w:highlight w:val="none"/>
          <w:u w:val="single"/>
          <w:lang w:val="en-US" w:eastAsia="zh-CN"/>
        </w:rPr>
      </w:pPr>
      <w:r>
        <w:rPr>
          <w:rFonts w:ascii="仿宋" w:hAnsi="仿宋"/>
          <w:szCs w:val="28"/>
          <w:highlight w:val="none"/>
        </w:rPr>
        <w:t xml:space="preserve">2.履行合同地点：</w:t>
      </w:r>
      <w:r>
        <w:rPr>
          <w:rFonts w:hint="eastAsia" w:ascii="仿宋" w:hAnsi="仿宋"/>
          <w:szCs w:val="28"/>
          <w:highlight w:val="none"/>
          <w:u w:val="single"/>
        </w:rPr>
        <w:t xml:space="preserve">                                   </w:t>
      </w:r>
      <w:r>
        <w:rPr>
          <w:rFonts w:hint="eastAsia" w:ascii="仿宋" w:hAnsi="仿宋"/>
          <w:szCs w:val="28"/>
          <w:highlight w:val="none"/>
          <w:u w:val="single"/>
          <w:lang w:val="en-US" w:eastAsia="zh-CN"/>
        </w:rPr>
        <w:t xml:space="preserve">             </w:t>
      </w:r>
      <w:r/>
    </w:p>
    <w:p>
      <w:pPr>
        <w:rPr>
          <w:rFonts w:ascii="仿宋" w:hAnsi="仿宋"/>
          <w:b/>
          <w:bCs/>
          <w:szCs w:val="28"/>
          <w:highlight w:val="none"/>
        </w:rPr>
      </w:pPr>
      <w:r>
        <w:rPr>
          <w:rFonts w:ascii="仿宋" w:hAnsi="仿宋"/>
          <w:b/>
          <w:bCs/>
          <w:szCs w:val="28"/>
          <w:highlight w:val="none"/>
        </w:rPr>
        <w:t xml:space="preserve">第五条 权利保证 </w:t>
      </w:r>
      <w:r/>
    </w:p>
    <w:p>
      <w:pPr>
        <w:rPr>
          <w:highlight w:val="none"/>
        </w:rPr>
      </w:pPr>
      <w:r>
        <w:rPr>
          <w:rFonts w:ascii="仿宋" w:hAnsi="仿宋"/>
          <w:szCs w:val="28"/>
          <w:highlight w:val="none"/>
        </w:rPr>
        <w:t xml:space="preserve">乙方应保证向甲方提供的服务不受第三方提出侵犯其专利权、版权、商标权或其他权利的起诉。一旦出现侵权，乙方应承担全部责任。 </w:t>
      </w:r>
      <w:r/>
    </w:p>
    <w:p>
      <w:pPr>
        <w:rPr>
          <w:rFonts w:ascii="仿宋" w:hAnsi="仿宋"/>
          <w:b/>
          <w:bCs/>
          <w:szCs w:val="28"/>
          <w:highlight w:val="none"/>
        </w:rPr>
      </w:pPr>
      <w:r>
        <w:rPr>
          <w:rFonts w:ascii="仿宋" w:hAnsi="仿宋"/>
          <w:b/>
          <w:bCs/>
          <w:szCs w:val="28"/>
          <w:highlight w:val="none"/>
        </w:rPr>
        <w:t xml:space="preserve">第六条 质量保证</w:t>
      </w:r>
      <w:r/>
    </w:p>
    <w:p>
      <w:pPr>
        <w:rPr>
          <w:rFonts w:ascii="仿宋" w:hAnsi="仿宋"/>
          <w:szCs w:val="28"/>
          <w:highlight w:val="none"/>
        </w:rPr>
      </w:pPr>
      <w:r>
        <w:rPr>
          <w:rFonts w:ascii="仿宋" w:hAnsi="仿宋"/>
          <w:szCs w:val="28"/>
          <w:highlight w:val="none"/>
        </w:rPr>
        <w:t xml:space="preserve">1.乙方提供的服务质量应当符合采购文件的约定，以及乙方的承诺。 </w:t>
      </w:r>
      <w:r/>
    </w:p>
    <w:p>
      <w:pPr>
        <w:rPr>
          <w:rFonts w:ascii="仿宋" w:hAnsi="仿宋"/>
          <w:szCs w:val="28"/>
          <w:highlight w:val="none"/>
        </w:rPr>
      </w:pPr>
      <w:r>
        <w:rPr>
          <w:rFonts w:ascii="仿宋" w:hAnsi="仿宋"/>
          <w:szCs w:val="28"/>
          <w:highlight w:val="none"/>
        </w:rPr>
        <w:t xml:space="preserve">2.除特别说明外，质量保证期为自验收合格后</w:t>
      </w:r>
      <w:r>
        <w:rPr>
          <w:rFonts w:hint="eastAsia" w:ascii="仿宋" w:hAnsi="仿宋"/>
          <w:szCs w:val="28"/>
          <w:highlight w:val="none"/>
          <w:u w:val="single"/>
        </w:rPr>
        <w:t xml:space="preserve">    </w:t>
      </w:r>
      <w:r>
        <w:rPr>
          <w:rFonts w:ascii="仿宋" w:hAnsi="仿宋"/>
          <w:szCs w:val="28"/>
          <w:highlight w:val="none"/>
        </w:rPr>
        <w:t xml:space="preserve">，在此期间，乙方提供免费服务。</w:t>
      </w:r>
      <w:r/>
    </w:p>
    <w:p>
      <w:pPr>
        <w:rPr>
          <w:rFonts w:ascii="仿宋" w:hAnsi="仿宋"/>
          <w:szCs w:val="28"/>
          <w:highlight w:val="none"/>
        </w:rPr>
      </w:pPr>
      <w:r>
        <w:rPr>
          <w:rFonts w:hint="eastAsia" w:ascii="仿宋" w:hAnsi="仿宋"/>
          <w:szCs w:val="28"/>
          <w:highlight w:val="none"/>
        </w:rPr>
        <w:t xml:space="preserve">3.乙方所提供的服务的技术规格应与招标文件规定的技术规格及所附的“技术条款偏离表”相一致；若技术性能无特殊说明，则按国家有关部门最新颁布的标准及规范为准。</w:t>
      </w:r>
      <w:r>
        <w:rPr>
          <w:rFonts w:ascii="仿宋" w:hAnsi="仿宋"/>
          <w:szCs w:val="28"/>
          <w:highlight w:val="none"/>
        </w:rPr>
        <w:t xml:space="preserve"> </w:t>
      </w:r>
      <w:r/>
    </w:p>
    <w:p>
      <w:pPr>
        <w:rPr>
          <w:rFonts w:ascii="宋体"/>
          <w:b/>
          <w:bCs/>
          <w:szCs w:val="21"/>
          <w:highlight w:val="none"/>
          <w:lang w:val="zh-CN"/>
        </w:rPr>
      </w:pPr>
      <w:r>
        <w:rPr>
          <w:rFonts w:ascii="仿宋" w:hAnsi="仿宋"/>
          <w:b/>
          <w:bCs/>
          <w:szCs w:val="28"/>
          <w:highlight w:val="none"/>
        </w:rPr>
        <w:t xml:space="preserve">第</w:t>
      </w:r>
      <w:r>
        <w:rPr>
          <w:rFonts w:hint="eastAsia" w:ascii="仿宋" w:hAnsi="仿宋"/>
          <w:b/>
          <w:bCs/>
          <w:szCs w:val="28"/>
          <w:highlight w:val="none"/>
        </w:rPr>
        <w:t xml:space="preserve">八</w:t>
      </w:r>
      <w:r>
        <w:rPr>
          <w:rFonts w:ascii="仿宋" w:hAnsi="仿宋"/>
          <w:b/>
          <w:bCs/>
          <w:szCs w:val="28"/>
          <w:highlight w:val="none"/>
        </w:rPr>
        <w:t xml:space="preserve">条 </w:t>
      </w:r>
      <w:r>
        <w:rPr>
          <w:rFonts w:hint="eastAsia" w:ascii="宋体"/>
          <w:b/>
          <w:bCs/>
          <w:szCs w:val="21"/>
          <w:highlight w:val="none"/>
          <w:lang w:val="zh-CN"/>
        </w:rPr>
        <w:t xml:space="preserve">交付和验收</w:t>
      </w:r>
      <w:r/>
    </w:p>
    <w:p>
      <w:pPr>
        <w:rPr>
          <w:rFonts w:ascii="仿宋" w:hAnsi="仿宋"/>
          <w:szCs w:val="28"/>
          <w:highlight w:val="none"/>
          <w:lang w:val="zh-CN"/>
        </w:rPr>
      </w:pPr>
      <w:r>
        <w:rPr>
          <w:rFonts w:ascii="仿宋" w:hAnsi="仿宋"/>
          <w:szCs w:val="28"/>
          <w:highlight w:val="none"/>
          <w:lang w:val="zh-CN"/>
        </w:rPr>
        <w:t xml:space="preserve">1</w:t>
      </w:r>
      <w:r>
        <w:rPr>
          <w:rFonts w:hint="eastAsia" w:ascii="仿宋" w:hAnsi="仿宋"/>
          <w:szCs w:val="28"/>
          <w:highlight w:val="none"/>
          <w:lang w:val="zh-CN"/>
        </w:rPr>
        <w:t xml:space="preserve">、乙方应当在合同签订后</w:t>
      </w:r>
      <w:r>
        <w:rPr>
          <w:rFonts w:ascii="仿宋" w:hAnsi="仿宋"/>
          <w:szCs w:val="28"/>
          <w:highlight w:val="none"/>
          <w:u w:val="single"/>
          <w:lang w:val="zh-CN"/>
        </w:rPr>
        <w:t xml:space="preserve">  </w:t>
      </w:r>
      <w:r>
        <w:rPr>
          <w:rFonts w:hint="eastAsia" w:ascii="仿宋" w:hAnsi="仿宋"/>
          <w:szCs w:val="28"/>
          <w:highlight w:val="none"/>
          <w:lang w:val="zh-CN"/>
        </w:rPr>
        <w:t xml:space="preserve">天内完成服务事项。</w:t>
      </w:r>
      <w:r/>
    </w:p>
    <w:p>
      <w:pPr>
        <w:rPr>
          <w:highlight w:val="none"/>
        </w:rPr>
      </w:pPr>
      <w:r>
        <w:rPr>
          <w:rFonts w:ascii="仿宋" w:hAnsi="仿宋"/>
          <w:szCs w:val="28"/>
          <w:highlight w:val="none"/>
          <w:lang w:val="zh-CN"/>
        </w:rPr>
        <w:t xml:space="preserve">2</w:t>
      </w:r>
      <w:r>
        <w:rPr>
          <w:rFonts w:hint="eastAsia" w:ascii="仿宋" w:hAnsi="仿宋"/>
          <w:szCs w:val="28"/>
          <w:highlight w:val="none"/>
          <w:lang w:val="zh-CN"/>
        </w:rPr>
        <w:t xml:space="preserve">、验收标准：按行业通行标准和乙方投标文件的承诺（详见合同附件载明的标准，并不低于国家相关标准）。</w:t>
      </w:r>
      <w:r/>
    </w:p>
    <w:p>
      <w:pPr>
        <w:rPr>
          <w:rFonts w:ascii="仿宋" w:hAnsi="仿宋"/>
          <w:szCs w:val="28"/>
          <w:highlight w:val="none"/>
        </w:rPr>
      </w:pPr>
      <w:r>
        <w:rPr>
          <w:rFonts w:hint="eastAsia" w:ascii="仿宋" w:hAnsi="仿宋"/>
          <w:szCs w:val="28"/>
          <w:highlight w:val="none"/>
        </w:rPr>
        <w:t xml:space="preserve">3</w:t>
      </w:r>
      <w:r>
        <w:rPr>
          <w:rFonts w:ascii="仿宋" w:hAnsi="仿宋"/>
          <w:szCs w:val="28"/>
          <w:highlight w:val="none"/>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rPr>
          <w:highlight w:val="none"/>
        </w:rPr>
      </w:pPr>
      <w:r>
        <w:rPr>
          <w:rFonts w:hint="eastAsia" w:ascii="仿宋" w:hAnsi="仿宋"/>
          <w:szCs w:val="28"/>
          <w:highlight w:val="none"/>
        </w:rPr>
        <w:t xml:space="preserve">4</w:t>
      </w:r>
      <w:r>
        <w:rPr>
          <w:rFonts w:ascii="仿宋" w:hAnsi="仿宋"/>
          <w:szCs w:val="28"/>
          <w:highlight w:val="none"/>
        </w:rPr>
        <w:t xml:space="preserve">.甲方可以邀请参加本项目的其他供应商或第三方专业机构及专家参与验收。 </w:t>
      </w:r>
      <w:r/>
    </w:p>
    <w:p>
      <w:pPr>
        <w:rPr>
          <w:rFonts w:ascii="仿宋" w:hAnsi="仿宋"/>
          <w:b/>
          <w:bCs/>
          <w:szCs w:val="28"/>
          <w:highlight w:val="none"/>
        </w:rPr>
      </w:pPr>
      <w:r>
        <w:rPr>
          <w:rFonts w:ascii="仿宋" w:hAnsi="仿宋"/>
          <w:b/>
          <w:bCs/>
          <w:szCs w:val="28"/>
          <w:highlight w:val="none"/>
        </w:rPr>
        <w:t xml:space="preserve">第</w:t>
      </w:r>
      <w:r>
        <w:rPr>
          <w:rFonts w:hint="eastAsia" w:ascii="仿宋" w:hAnsi="仿宋"/>
          <w:b/>
          <w:bCs/>
          <w:szCs w:val="28"/>
          <w:highlight w:val="none"/>
        </w:rPr>
        <w:t xml:space="preserve">九</w:t>
      </w:r>
      <w:r>
        <w:rPr>
          <w:rFonts w:ascii="仿宋" w:hAnsi="仿宋"/>
          <w:b/>
          <w:bCs/>
          <w:szCs w:val="28"/>
          <w:highlight w:val="none"/>
        </w:rPr>
        <w:t xml:space="preserve">条 履约保证金 </w:t>
      </w:r>
      <w:r>
        <w:rPr>
          <w:rFonts w:hint="eastAsia" w:ascii="仿宋" w:hAnsi="仿宋"/>
          <w:b/>
          <w:bCs/>
          <w:szCs w:val="28"/>
          <w:highlight w:val="none"/>
        </w:rPr>
        <w:t xml:space="preserve">(本项目不采用)</w:t>
      </w:r>
      <w:r/>
    </w:p>
    <w:p>
      <w:pPr>
        <w:rPr>
          <w:rFonts w:ascii="仿宋" w:hAnsi="仿宋"/>
          <w:szCs w:val="28"/>
          <w:highlight w:val="none"/>
        </w:rPr>
      </w:pPr>
      <w:r>
        <w:rPr>
          <w:rFonts w:ascii="仿宋" w:hAnsi="仿宋"/>
          <w:szCs w:val="28"/>
          <w:highlight w:val="none"/>
        </w:rPr>
        <w:t xml:space="preserve">1、履约保证金采用以下第（）种方式缴纳。 </w:t>
      </w:r>
      <w:r/>
    </w:p>
    <w:p>
      <w:pPr>
        <w:rPr>
          <w:rFonts w:ascii="仿宋" w:hAnsi="仿宋"/>
          <w:szCs w:val="28"/>
          <w:highlight w:val="none"/>
        </w:rPr>
      </w:pPr>
      <w:r>
        <w:rPr>
          <w:rFonts w:ascii="仿宋" w:hAnsi="仿宋"/>
          <w:szCs w:val="28"/>
          <w:highlight w:val="none"/>
        </w:rPr>
        <w:t xml:space="preserve">（1）乙方在签订本合同时，向采购人缴纳合同金额的</w:t>
      </w:r>
      <w:r>
        <w:rPr>
          <w:rFonts w:hint="eastAsia" w:ascii="仿宋" w:hAnsi="仿宋"/>
          <w:szCs w:val="28"/>
          <w:highlight w:val="none"/>
        </w:rPr>
        <w:t xml:space="preserve">10</w:t>
      </w:r>
      <w:r>
        <w:rPr>
          <w:rFonts w:ascii="仿宋" w:hAnsi="仿宋"/>
          <w:szCs w:val="28"/>
          <w:highlight w:val="none"/>
        </w:rPr>
        <w:t xml:space="preserve">%作为履约保证金。 </w:t>
      </w:r>
      <w:r/>
    </w:p>
    <w:p>
      <w:pPr>
        <w:rPr>
          <w:rFonts w:ascii="仿宋" w:hAnsi="仿宋"/>
          <w:szCs w:val="28"/>
          <w:highlight w:val="none"/>
        </w:rPr>
      </w:pPr>
      <w:r>
        <w:rPr>
          <w:rFonts w:ascii="仿宋" w:hAnsi="仿宋"/>
          <w:szCs w:val="28"/>
          <w:highlight w:val="none"/>
        </w:rPr>
        <w:t xml:space="preserve">（</w:t>
      </w:r>
      <w:r>
        <w:rPr>
          <w:rFonts w:hint="eastAsia" w:ascii="仿宋" w:hAnsi="仿宋"/>
          <w:szCs w:val="28"/>
          <w:highlight w:val="none"/>
        </w:rPr>
        <w:t xml:space="preserve">2</w:t>
      </w:r>
      <w:r>
        <w:rPr>
          <w:rFonts w:ascii="仿宋" w:hAnsi="仿宋"/>
          <w:szCs w:val="28"/>
          <w:highlight w:val="none"/>
        </w:rPr>
        <w:t xml:space="preserve">）</w:t>
      </w:r>
      <w:r>
        <w:rPr>
          <w:rFonts w:hint="eastAsia" w:ascii="仿宋" w:hAnsi="仿宋"/>
          <w:szCs w:val="28"/>
          <w:highlight w:val="none"/>
        </w:rPr>
        <w:t xml:space="preserve">无</w:t>
      </w:r>
      <w:r/>
    </w:p>
    <w:p>
      <w:pPr>
        <w:jc w:val="left"/>
        <w:rPr>
          <w:rFonts w:ascii="宋体"/>
          <w:szCs w:val="21"/>
          <w:highlight w:val="none"/>
          <w:lang w:val="zh-CN"/>
        </w:rPr>
      </w:pPr>
      <w:r>
        <w:rPr>
          <w:rFonts w:ascii="宋体"/>
          <w:szCs w:val="21"/>
          <w:highlight w:val="none"/>
          <w:lang w:val="zh-CN"/>
        </w:rPr>
        <w:t xml:space="preserve">2</w:t>
      </w:r>
      <w:r>
        <w:rPr>
          <w:rFonts w:hint="eastAsia" w:ascii="宋体"/>
          <w:szCs w:val="21"/>
          <w:highlight w:val="none"/>
          <w:lang w:val="zh-CN"/>
        </w:rPr>
        <w:t xml:space="preserve">、履约保证金的有效期为该项目免费维护期满时止。</w:t>
      </w:r>
      <w:r/>
    </w:p>
    <w:p>
      <w:pPr>
        <w:jc w:val="left"/>
        <w:rPr>
          <w:rFonts w:ascii="宋体"/>
          <w:szCs w:val="21"/>
          <w:highlight w:val="none"/>
          <w:lang w:val="zh-CN"/>
        </w:rPr>
      </w:pPr>
      <w:r>
        <w:rPr>
          <w:rFonts w:ascii="宋体"/>
          <w:szCs w:val="21"/>
          <w:highlight w:val="none"/>
          <w:lang w:val="zh-CN"/>
        </w:rPr>
        <w:t xml:space="preserve">3</w:t>
      </w:r>
      <w:r>
        <w:rPr>
          <w:rFonts w:hint="eastAsia" w:ascii="宋体"/>
          <w:szCs w:val="21"/>
          <w:highlight w:val="none"/>
          <w:lang w:val="zh-CN"/>
        </w:rPr>
        <w:t xml:space="preserve">、如乙方未能履行合同规定的义务，甲方有权从履约保证金中取得补偿。</w:t>
      </w:r>
      <w:r/>
    </w:p>
    <w:p>
      <w:pPr>
        <w:jc w:val="left"/>
        <w:rPr>
          <w:highlight w:val="none"/>
        </w:rPr>
      </w:pPr>
      <w:r>
        <w:rPr>
          <w:rFonts w:ascii="宋体"/>
          <w:szCs w:val="21"/>
          <w:highlight w:val="none"/>
          <w:lang w:val="zh-CN"/>
        </w:rPr>
        <w:t xml:space="preserve">4</w:t>
      </w:r>
      <w:r>
        <w:rPr>
          <w:rFonts w:hint="eastAsia" w:ascii="宋体"/>
          <w:szCs w:val="21"/>
          <w:highlight w:val="none"/>
          <w:lang w:val="zh-CN"/>
        </w:rPr>
        <w:t xml:space="preserve">、履约保证金扣除甲方应得的补偿后的余额在有效期满后七工作日内无息退还给乙方。</w:t>
      </w:r>
      <w:r/>
    </w:p>
    <w:p>
      <w:pPr>
        <w:rPr>
          <w:rFonts w:ascii="仿宋" w:hAnsi="仿宋"/>
          <w:b/>
          <w:bCs/>
          <w:szCs w:val="28"/>
          <w:highlight w:val="none"/>
        </w:rPr>
      </w:pPr>
      <w:r>
        <w:rPr>
          <w:rFonts w:ascii="仿宋" w:hAnsi="仿宋"/>
          <w:b/>
          <w:bCs/>
          <w:szCs w:val="28"/>
          <w:highlight w:val="none"/>
        </w:rPr>
        <w:t xml:space="preserve">第</w:t>
      </w:r>
      <w:r>
        <w:rPr>
          <w:rFonts w:hint="eastAsia" w:ascii="仿宋" w:hAnsi="仿宋"/>
          <w:b/>
          <w:bCs/>
          <w:szCs w:val="28"/>
          <w:highlight w:val="none"/>
        </w:rPr>
        <w:t xml:space="preserve">十</w:t>
      </w:r>
      <w:r>
        <w:rPr>
          <w:rFonts w:ascii="仿宋" w:hAnsi="仿宋"/>
          <w:b/>
          <w:bCs/>
          <w:szCs w:val="28"/>
          <w:highlight w:val="none"/>
        </w:rPr>
        <w:t xml:space="preserve">条 合同款支付 </w:t>
      </w:r>
      <w:r/>
    </w:p>
    <w:p>
      <w:pPr>
        <w:rPr>
          <w:rFonts w:ascii="仿宋" w:hAnsi="仿宋"/>
          <w:szCs w:val="28"/>
          <w:highlight w:val="none"/>
        </w:rPr>
      </w:pPr>
      <w:r>
        <w:rPr>
          <w:rFonts w:ascii="仿宋" w:hAnsi="仿宋"/>
          <w:szCs w:val="28"/>
          <w:highlight w:val="none"/>
        </w:rPr>
        <w:t xml:space="preserve">1. 本合同项下所有款项均以人民币支付。 </w:t>
      </w:r>
      <w:r/>
    </w:p>
    <w:p>
      <w:pPr>
        <w:rPr>
          <w:rFonts w:ascii="仿宋" w:hAnsi="仿宋"/>
          <w:szCs w:val="28"/>
          <w:highlight w:val="none"/>
        </w:rPr>
      </w:pPr>
      <w:r>
        <w:rPr>
          <w:rFonts w:ascii="仿宋" w:hAnsi="仿宋"/>
          <w:szCs w:val="28"/>
          <w:highlight w:val="none"/>
        </w:rPr>
        <w:t xml:space="preserve">2. </w:t>
      </w:r>
      <w:r>
        <w:rPr>
          <w:rFonts w:hint="eastAsia" w:ascii="仿宋" w:hAnsi="仿宋"/>
          <w:szCs w:val="28"/>
          <w:highlight w:val="none"/>
        </w:rPr>
        <w:t xml:space="preserve">本合同项下的采购资金由甲方自行支付，甲方需凭乙方开具发票支付款项</w:t>
      </w:r>
      <w:r>
        <w:rPr>
          <w:rFonts w:ascii="仿宋" w:hAnsi="仿宋"/>
          <w:szCs w:val="28"/>
          <w:highlight w:val="none"/>
        </w:rPr>
        <w:t xml:space="preserve">。 </w:t>
      </w:r>
      <w:r/>
    </w:p>
    <w:p>
      <w:pPr>
        <w:rPr>
          <w:rFonts w:ascii="仿宋" w:hAnsi="仿宋"/>
          <w:szCs w:val="28"/>
          <w:highlight w:val="none"/>
        </w:rPr>
      </w:pPr>
      <w:r>
        <w:rPr>
          <w:rFonts w:ascii="仿宋" w:hAnsi="仿宋"/>
          <w:szCs w:val="28"/>
          <w:highlight w:val="none"/>
        </w:rPr>
        <w:t xml:space="preserve">3. 付款条件：</w:t>
      </w:r>
      <w:r>
        <w:rPr>
          <w:rFonts w:hint="eastAsia" w:ascii="仿宋" w:hAnsi="仿宋"/>
          <w:szCs w:val="28"/>
          <w:highlight w:val="none"/>
        </w:rPr>
        <w:t xml:space="preserve">合同签订后，甲方每半年支付一次给乙方</w:t>
      </w:r>
      <w:r/>
    </w:p>
    <w:p>
      <w:pPr>
        <w:rPr>
          <w:highlight w:val="none"/>
        </w:rPr>
      </w:pPr>
      <w:r>
        <w:rPr>
          <w:rFonts w:hint="eastAsia" w:ascii="仿宋" w:hAnsi="仿宋"/>
          <w:szCs w:val="28"/>
          <w:highlight w:val="none"/>
        </w:rPr>
        <w:t xml:space="preserve">注：所有款项的支付，供应商都需按要求开具正规的发票。</w:t>
      </w:r>
      <w:r/>
    </w:p>
    <w:p>
      <w:pPr>
        <w:rPr>
          <w:rFonts w:ascii="仿宋" w:hAnsi="仿宋"/>
          <w:b/>
          <w:bCs/>
          <w:szCs w:val="28"/>
          <w:highlight w:val="none"/>
        </w:rPr>
      </w:pPr>
      <w:r>
        <w:rPr>
          <w:rFonts w:ascii="仿宋" w:hAnsi="仿宋"/>
          <w:b/>
          <w:bCs/>
          <w:szCs w:val="28"/>
          <w:highlight w:val="none"/>
        </w:rPr>
        <w:t xml:space="preserve">第十</w:t>
      </w:r>
      <w:r>
        <w:rPr>
          <w:rFonts w:hint="eastAsia" w:ascii="仿宋" w:hAnsi="仿宋"/>
          <w:b/>
          <w:bCs/>
          <w:szCs w:val="28"/>
          <w:highlight w:val="none"/>
        </w:rPr>
        <w:t xml:space="preserve">一</w:t>
      </w:r>
      <w:r>
        <w:rPr>
          <w:rFonts w:ascii="仿宋" w:hAnsi="仿宋"/>
          <w:b/>
          <w:bCs/>
          <w:szCs w:val="28"/>
          <w:highlight w:val="none"/>
        </w:rPr>
        <w:t xml:space="preserve">条 违约责任 </w:t>
      </w:r>
      <w:r/>
    </w:p>
    <w:p>
      <w:pPr>
        <w:rPr>
          <w:rFonts w:ascii="仿宋" w:hAnsi="仿宋"/>
          <w:szCs w:val="28"/>
          <w:highlight w:val="none"/>
          <w:lang w:val="zh-CN"/>
        </w:rPr>
      </w:pPr>
      <w:r>
        <w:rPr>
          <w:rFonts w:hint="eastAsia" w:ascii="仿宋" w:hAnsi="仿宋"/>
          <w:szCs w:val="28"/>
          <w:highlight w:val="none"/>
          <w:lang w:val="zh-CN"/>
        </w:rPr>
        <w:t xml:space="preserve">１、甲方无正当理由拒收服务、拒付服务款的，由甲方向乙方偿付合同总价的5%违约金。</w:t>
      </w:r>
      <w:r/>
    </w:p>
    <w:p>
      <w:pPr>
        <w:rPr>
          <w:rFonts w:ascii="仿宋" w:hAnsi="仿宋"/>
          <w:szCs w:val="28"/>
          <w:highlight w:val="none"/>
          <w:lang w:val="zh-CN"/>
        </w:rPr>
      </w:pPr>
      <w:r>
        <w:rPr>
          <w:rFonts w:hint="eastAsia" w:ascii="仿宋" w:hAnsi="仿宋"/>
          <w:szCs w:val="28"/>
          <w:highlight w:val="none"/>
          <w:lang w:val="zh-CN"/>
        </w:rPr>
        <w:t xml:space="preserve">２、甲方未按合同规定的期限向乙方支付货款的，每逾期1天甲方向乙方偿付欠款总额的5‰滞纳金，但累计滞纳金总额不超过欠款总额的5% 。</w:t>
      </w:r>
      <w:r/>
    </w:p>
    <w:p>
      <w:pPr>
        <w:rPr>
          <w:rFonts w:ascii="仿宋" w:hAnsi="仿宋"/>
          <w:szCs w:val="28"/>
          <w:highlight w:val="none"/>
          <w:lang w:val="zh-CN"/>
        </w:rPr>
      </w:pPr>
      <w:r>
        <w:rPr>
          <w:rFonts w:hint="eastAsia" w:ascii="仿宋" w:hAnsi="仿宋"/>
          <w:szCs w:val="28"/>
          <w:highlight w:val="none"/>
          <w:lang w:val="zh-CN"/>
        </w:rPr>
        <w:t xml:space="preserve">３、如乙方不能交付服务、完成相关服务的，甲方有权扣留全部履约保证金；同时乙方应向甲方支付合同总价5%的违约金。</w:t>
      </w:r>
      <w:r/>
    </w:p>
    <w:p>
      <w:pPr>
        <w:rPr>
          <w:rFonts w:ascii="仿宋" w:hAnsi="仿宋"/>
          <w:szCs w:val="28"/>
          <w:highlight w:val="none"/>
          <w:lang w:val="zh-CN"/>
        </w:rPr>
      </w:pPr>
      <w:r>
        <w:rPr>
          <w:rFonts w:hint="eastAsia" w:ascii="仿宋" w:hAnsi="仿宋"/>
          <w:szCs w:val="28"/>
          <w:highlight w:val="none"/>
          <w:lang w:val="zh-CN"/>
        </w:rPr>
        <w:t xml:space="preserve">４、乙方逾期交付或不按要求进行相关服务的，每逾期1天，乙方向甲方偿付合同总额的5‰的滞纳金。如乙方逾期交付达10天，甲方有权解除合同，解除合同的通知自到达乙方时生效。</w:t>
      </w:r>
      <w:r/>
    </w:p>
    <w:p>
      <w:pPr>
        <w:rPr>
          <w:rFonts w:ascii="仿宋" w:hAnsi="仿宋"/>
          <w:szCs w:val="28"/>
          <w:highlight w:val="none"/>
          <w:lang w:val="zh-CN"/>
        </w:rPr>
      </w:pPr>
      <w:r>
        <w:rPr>
          <w:rFonts w:hint="eastAsia" w:ascii="仿宋" w:hAnsi="仿宋"/>
          <w:szCs w:val="28"/>
          <w:highlight w:val="none"/>
          <w:lang w:val="zh-CN"/>
        </w:rPr>
        <w:t xml:space="preserve">５、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rPr>
          <w:rFonts w:ascii="仿宋" w:hAnsi="仿宋"/>
          <w:szCs w:val="28"/>
          <w:highlight w:val="none"/>
          <w:lang w:val="zh-CN"/>
        </w:rPr>
      </w:pPr>
      <w:r>
        <w:rPr>
          <w:rFonts w:hint="eastAsia" w:ascii="仿宋" w:hAnsi="仿宋"/>
          <w:szCs w:val="28"/>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rPr>
          <w:rFonts w:ascii="仿宋" w:hAnsi="仿宋"/>
          <w:szCs w:val="28"/>
          <w:highlight w:val="none"/>
          <w:lang w:val="zh-CN"/>
        </w:rPr>
      </w:pPr>
      <w:r>
        <w:rPr>
          <w:rFonts w:hint="eastAsia" w:ascii="仿宋" w:hAnsi="仿宋"/>
          <w:szCs w:val="28"/>
          <w:highlight w:val="none"/>
          <w:lang w:val="zh-CN"/>
        </w:rPr>
        <w:t xml:space="preserve">7、乙方未按本合同的规定和“服务承诺”提供伴随服务/售后服务的，应按合同总价款的5 %向甲方承担违约责任。</w:t>
      </w:r>
      <w:r/>
    </w:p>
    <w:p>
      <w:pPr>
        <w:rPr>
          <w:rFonts w:ascii="仿宋" w:hAnsi="仿宋"/>
          <w:szCs w:val="28"/>
          <w:highlight w:val="none"/>
          <w:lang w:val="zh-CN"/>
        </w:rPr>
      </w:pPr>
      <w:r>
        <w:rPr>
          <w:rFonts w:hint="eastAsia" w:ascii="仿宋" w:hAnsi="仿宋"/>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rPr>
          <w:rFonts w:ascii="仿宋" w:hAnsi="仿宋"/>
          <w:szCs w:val="28"/>
          <w:highlight w:val="none"/>
        </w:rPr>
      </w:pPr>
      <w:r>
        <w:rPr>
          <w:rFonts w:hint="eastAsia" w:ascii="仿宋" w:hAnsi="仿宋"/>
          <w:szCs w:val="28"/>
          <w:highlight w:val="none"/>
          <w:lang w:val="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szCs w:val="28"/>
          <w:highlight w:val="none"/>
        </w:rPr>
        <w:t xml:space="preserve">            </w:t>
      </w:r>
      <w:r/>
    </w:p>
    <w:p>
      <w:pPr>
        <w:rPr>
          <w:rFonts w:ascii="仿宋" w:hAnsi="仿宋"/>
          <w:b/>
          <w:bCs/>
          <w:szCs w:val="28"/>
          <w:highlight w:val="none"/>
        </w:rPr>
      </w:pPr>
      <w:r>
        <w:rPr>
          <w:rFonts w:ascii="仿宋" w:hAnsi="仿宋"/>
          <w:b/>
          <w:bCs/>
          <w:szCs w:val="28"/>
          <w:highlight w:val="none"/>
        </w:rPr>
        <w:t xml:space="preserve">第十</w:t>
      </w:r>
      <w:r>
        <w:rPr>
          <w:rFonts w:hint="eastAsia" w:ascii="仿宋" w:hAnsi="仿宋"/>
          <w:b/>
          <w:bCs/>
          <w:szCs w:val="28"/>
          <w:highlight w:val="none"/>
        </w:rPr>
        <w:t xml:space="preserve">二</w:t>
      </w:r>
      <w:r>
        <w:rPr>
          <w:rFonts w:ascii="仿宋" w:hAnsi="仿宋"/>
          <w:b/>
          <w:bCs/>
          <w:szCs w:val="28"/>
          <w:highlight w:val="none"/>
        </w:rPr>
        <w:t xml:space="preserve">条 合同的变更和终止 </w:t>
      </w:r>
      <w:r/>
    </w:p>
    <w:p>
      <w:pPr>
        <w:rPr>
          <w:rFonts w:ascii="仿宋" w:hAnsi="仿宋"/>
          <w:szCs w:val="28"/>
          <w:highlight w:val="none"/>
        </w:rPr>
      </w:pPr>
      <w:r>
        <w:rPr>
          <w:rFonts w:ascii="仿宋" w:hAnsi="仿宋"/>
          <w:szCs w:val="28"/>
          <w:highlight w:val="none"/>
        </w:rPr>
        <w:t xml:space="preserve">1. 除《政府采购法》第50条第二款规定的情形外，本合同一经签订，甲乙双方不得擅自变更、中止或终止合同。 </w:t>
      </w:r>
      <w:r/>
    </w:p>
    <w:p>
      <w:pPr>
        <w:rPr>
          <w:rFonts w:ascii="仿宋" w:hAnsi="仿宋"/>
          <w:szCs w:val="28"/>
          <w:highlight w:val="none"/>
        </w:rPr>
      </w:pPr>
      <w:r>
        <w:rPr>
          <w:rFonts w:ascii="仿宋" w:hAnsi="仿宋"/>
          <w:szCs w:val="28"/>
          <w:highlight w:val="none"/>
        </w:rPr>
        <w:t xml:space="preserve">2. 除发生法律规定的不能预见、不能避免并不能克服的客观情况外，甲乙双方不得放弃或拒绝履行合同。乙方放弃或拒绝履行合同，保证金不予退还。 </w:t>
      </w:r>
      <w:r/>
    </w:p>
    <w:p>
      <w:pPr>
        <w:rPr>
          <w:rFonts w:ascii="仿宋" w:hAnsi="仿宋"/>
          <w:szCs w:val="28"/>
          <w:highlight w:val="none"/>
        </w:rPr>
      </w:pPr>
      <w:r>
        <w:rPr>
          <w:rFonts w:ascii="仿宋" w:hAnsi="仿宋"/>
          <w:b/>
          <w:bCs/>
          <w:szCs w:val="28"/>
          <w:highlight w:val="none"/>
        </w:rPr>
        <w:t xml:space="preserve">第十</w:t>
      </w:r>
      <w:r>
        <w:rPr>
          <w:rFonts w:hint="eastAsia" w:ascii="仿宋" w:hAnsi="仿宋"/>
          <w:b/>
          <w:bCs/>
          <w:szCs w:val="28"/>
          <w:highlight w:val="none"/>
        </w:rPr>
        <w:t xml:space="preserve">三</w:t>
      </w:r>
      <w:r>
        <w:rPr>
          <w:rFonts w:ascii="仿宋" w:hAnsi="仿宋"/>
          <w:b/>
          <w:bCs/>
          <w:szCs w:val="28"/>
          <w:highlight w:val="none"/>
        </w:rPr>
        <w:t xml:space="preserve">条 合同的转让</w:t>
      </w:r>
      <w:r>
        <w:rPr>
          <w:rFonts w:ascii="仿宋" w:hAnsi="仿宋"/>
          <w:szCs w:val="28"/>
          <w:highlight w:val="none"/>
        </w:rPr>
        <w:t xml:space="preserve"> </w:t>
      </w:r>
      <w:r/>
    </w:p>
    <w:p>
      <w:pPr>
        <w:rPr>
          <w:rFonts w:ascii="仿宋" w:hAnsi="仿宋"/>
          <w:szCs w:val="28"/>
          <w:highlight w:val="none"/>
        </w:rPr>
      </w:pPr>
      <w:r>
        <w:rPr>
          <w:rFonts w:ascii="仿宋" w:hAnsi="仿宋"/>
          <w:szCs w:val="28"/>
          <w:highlight w:val="none"/>
        </w:rPr>
        <w:t xml:space="preserve">乙方不得擅自部分或全部转让其应履行的合同义务。 </w:t>
      </w:r>
      <w:r/>
    </w:p>
    <w:p>
      <w:pPr>
        <w:rPr>
          <w:rFonts w:ascii="仿宋" w:hAnsi="仿宋"/>
          <w:b/>
          <w:bCs/>
          <w:szCs w:val="28"/>
          <w:highlight w:val="none"/>
        </w:rPr>
      </w:pPr>
      <w:r>
        <w:rPr>
          <w:rFonts w:ascii="仿宋" w:hAnsi="仿宋"/>
          <w:b/>
          <w:bCs/>
          <w:szCs w:val="28"/>
          <w:highlight w:val="none"/>
        </w:rPr>
        <w:t xml:space="preserve">第十</w:t>
      </w:r>
      <w:r>
        <w:rPr>
          <w:rFonts w:hint="eastAsia" w:ascii="仿宋" w:hAnsi="仿宋"/>
          <w:b/>
          <w:bCs/>
          <w:szCs w:val="28"/>
          <w:highlight w:val="none"/>
        </w:rPr>
        <w:t xml:space="preserve">四</w:t>
      </w:r>
      <w:r>
        <w:rPr>
          <w:rFonts w:ascii="仿宋" w:hAnsi="仿宋"/>
          <w:b/>
          <w:bCs/>
          <w:szCs w:val="28"/>
          <w:highlight w:val="none"/>
        </w:rPr>
        <w:t xml:space="preserve">条 争议的解决</w:t>
      </w:r>
      <w:r/>
    </w:p>
    <w:p>
      <w:pPr>
        <w:jc w:val="left"/>
        <w:widowControl/>
        <w:rPr>
          <w:rFonts w:ascii="宋体" w:cs="宋体"/>
          <w:szCs w:val="21"/>
          <w:highlight w:val="none"/>
          <w:lang w:val="zh-CN"/>
        </w:rPr>
      </w:pPr>
      <w:r>
        <w:rPr>
          <w:rFonts w:ascii="宋体" w:hAnsi="宋体" w:cs="宋体"/>
          <w:szCs w:val="21"/>
          <w:highlight w:val="none"/>
          <w:lang w:val="zh-CN"/>
        </w:rPr>
        <w:t xml:space="preserve">1</w:t>
      </w:r>
      <w:r>
        <w:rPr>
          <w:rFonts w:hint="eastAsia" w:ascii="宋体" w:hAnsi="宋体" w:cs="宋体"/>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jc w:val="left"/>
        <w:widowControl/>
        <w:rPr>
          <w:rFonts w:ascii="宋体" w:hAnsi="宋体" w:cs="宋体"/>
          <w:szCs w:val="21"/>
          <w:highlight w:val="none"/>
          <w:lang w:val="zh-CN"/>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、因履行本合同引起的或与本合同有关的争议，甲、乙双方应首先通过友好协商解决，如果协商不能解决争议，则采取以下第（ ）种方式解决争议：</w:t>
      </w:r>
      <w:r/>
    </w:p>
    <w:p>
      <w:pPr>
        <w:ind w:firstLine="420"/>
        <w:jc w:val="left"/>
        <w:widowControl/>
        <w:rPr>
          <w:rFonts w:ascii="宋体" w:hAnsi="宋体" w:cs="宋体"/>
          <w:szCs w:val="21"/>
          <w:highlight w:val="none"/>
          <w:lang w:val="zh-CN"/>
        </w:rPr>
      </w:pPr>
      <w:r>
        <w:rPr>
          <w:rFonts w:hint="eastAsia" w:ascii="宋体" w:hAnsi="宋体" w:cs="宋体"/>
          <w:szCs w:val="21"/>
          <w:highlight w:val="none"/>
          <w:lang w:val="zh-CN"/>
        </w:rPr>
        <w:t xml:space="preserve">（1）向甲方所在地有管辖权的人民法院提起诉讼；</w:t>
      </w:r>
      <w:r/>
    </w:p>
    <w:p>
      <w:pPr>
        <w:ind w:firstLine="420"/>
        <w:jc w:val="left"/>
        <w:widowControl/>
        <w:rPr>
          <w:rFonts w:ascii="宋体" w:hAnsi="宋体" w:cs="宋体"/>
          <w:szCs w:val="21"/>
          <w:highlight w:val="none"/>
          <w:lang w:val="zh-CN"/>
        </w:rPr>
      </w:pPr>
      <w:r>
        <w:rPr>
          <w:rFonts w:hint="eastAsia" w:ascii="宋体" w:hAnsi="宋体" w:cs="宋体"/>
          <w:szCs w:val="21"/>
          <w:highlight w:val="none"/>
          <w:lang w:val="zh-CN"/>
        </w:rPr>
        <w:t xml:space="preserve">（2）向南京仲裁委员会按其仲裁规则申请仲裁。</w:t>
      </w:r>
      <w:r/>
    </w:p>
    <w:p>
      <w:pPr>
        <w:ind w:firstLine="210"/>
        <w:jc w:val="left"/>
        <w:widowControl/>
        <w:rPr>
          <w:rFonts w:ascii="宋体" w:cs="宋体"/>
          <w:szCs w:val="21"/>
          <w:highlight w:val="none"/>
          <w:lang w:val="zh-CN"/>
        </w:rPr>
      </w:pPr>
      <w:r>
        <w:rPr>
          <w:rFonts w:hint="eastAsia" w:ascii="宋体" w:hAnsi="宋体" w:cs="宋体"/>
          <w:szCs w:val="21"/>
          <w:highlight w:val="none"/>
          <w:lang w:val="zh-CN"/>
        </w:rPr>
        <w:t xml:space="preserve">如没有约定，默认采取第2种方式解决争议。</w:t>
      </w:r>
      <w:r/>
    </w:p>
    <w:p>
      <w:pPr>
        <w:jc w:val="left"/>
        <w:widowControl/>
        <w:rPr>
          <w:rFonts w:ascii="宋体" w:cs="宋体"/>
          <w:szCs w:val="21"/>
          <w:highlight w:val="none"/>
          <w:lang w:val="zh-CN"/>
        </w:rPr>
      </w:pPr>
      <w:r>
        <w:rPr>
          <w:rFonts w:ascii="宋体" w:hAnsi="宋体" w:cs="宋体"/>
          <w:szCs w:val="21"/>
          <w:highlight w:val="none"/>
          <w:lang w:val="zh-CN"/>
        </w:rPr>
        <w:t xml:space="preserve">3</w:t>
      </w:r>
      <w:r>
        <w:rPr>
          <w:rFonts w:hint="eastAsia" w:ascii="宋体" w:hAnsi="宋体" w:cs="宋体"/>
          <w:szCs w:val="21"/>
          <w:highlight w:val="none"/>
          <w:lang w:val="zh-CN"/>
        </w:rPr>
        <w:t xml:space="preserve">、在仲裁期间，本合同应继续履行。</w:t>
      </w:r>
      <w:r/>
    </w:p>
    <w:p>
      <w:pPr>
        <w:rPr>
          <w:rFonts w:ascii="仿宋" w:hAnsi="仿宋"/>
          <w:b/>
          <w:bCs/>
          <w:szCs w:val="28"/>
          <w:highlight w:val="none"/>
        </w:rPr>
      </w:pPr>
      <w:r>
        <w:rPr>
          <w:rFonts w:ascii="仿宋" w:hAnsi="仿宋"/>
          <w:b/>
          <w:bCs/>
          <w:szCs w:val="28"/>
          <w:highlight w:val="none"/>
        </w:rPr>
        <w:t xml:space="preserve">第十</w:t>
      </w:r>
      <w:r>
        <w:rPr>
          <w:rFonts w:hint="eastAsia" w:ascii="仿宋" w:hAnsi="仿宋"/>
          <w:b/>
          <w:bCs/>
          <w:szCs w:val="28"/>
          <w:highlight w:val="none"/>
        </w:rPr>
        <w:t xml:space="preserve">五</w:t>
      </w:r>
      <w:r>
        <w:rPr>
          <w:rFonts w:ascii="仿宋" w:hAnsi="仿宋"/>
          <w:b/>
          <w:bCs/>
          <w:szCs w:val="28"/>
          <w:highlight w:val="none"/>
        </w:rPr>
        <w:t xml:space="preserve">条 诚实信用 </w:t>
      </w:r>
      <w:r/>
    </w:p>
    <w:p>
      <w:pPr>
        <w:rPr>
          <w:rFonts w:ascii="仿宋" w:hAnsi="仿宋"/>
          <w:szCs w:val="28"/>
          <w:highlight w:val="none"/>
        </w:rPr>
      </w:pPr>
      <w:r>
        <w:rPr>
          <w:rFonts w:ascii="仿宋" w:hAnsi="仿宋"/>
          <w:szCs w:val="28"/>
          <w:highlight w:val="none"/>
        </w:rPr>
        <w:t xml:space="preserve">乙方应诚实信用，严格按照招标（采购）文件要求和投标（响应）承诺履行合同，不向甲方进行商业贿赂或者提供不正当利益。 </w:t>
      </w:r>
      <w:r/>
    </w:p>
    <w:p>
      <w:pPr>
        <w:rPr>
          <w:rFonts w:ascii="仿宋" w:hAnsi="仿宋"/>
          <w:b/>
          <w:bCs/>
          <w:szCs w:val="28"/>
          <w:highlight w:val="none"/>
        </w:rPr>
      </w:pPr>
      <w:r>
        <w:rPr>
          <w:rFonts w:ascii="仿宋" w:hAnsi="仿宋"/>
          <w:b/>
          <w:bCs/>
          <w:szCs w:val="28"/>
          <w:highlight w:val="none"/>
        </w:rPr>
        <w:t xml:space="preserve">第十</w:t>
      </w:r>
      <w:r>
        <w:rPr>
          <w:rFonts w:hint="eastAsia" w:ascii="仿宋" w:hAnsi="仿宋"/>
          <w:b/>
          <w:bCs/>
          <w:szCs w:val="28"/>
          <w:highlight w:val="none"/>
        </w:rPr>
        <w:t xml:space="preserve">六</w:t>
      </w:r>
      <w:r>
        <w:rPr>
          <w:rFonts w:ascii="仿宋" w:hAnsi="仿宋"/>
          <w:b/>
          <w:bCs/>
          <w:szCs w:val="28"/>
          <w:highlight w:val="none"/>
        </w:rPr>
        <w:t xml:space="preserve">条 合同生效及其他 </w:t>
      </w:r>
      <w:r/>
    </w:p>
    <w:p>
      <w:pPr>
        <w:rPr>
          <w:rFonts w:ascii="仿宋" w:hAnsi="仿宋"/>
          <w:szCs w:val="28"/>
          <w:highlight w:val="none"/>
        </w:rPr>
      </w:pPr>
      <w:r>
        <w:rPr>
          <w:rFonts w:ascii="仿宋" w:hAnsi="仿宋"/>
          <w:szCs w:val="28"/>
          <w:highlight w:val="none"/>
        </w:rPr>
        <w:t xml:space="preserve">1. 本合同自签订之日起生效。 </w:t>
      </w:r>
      <w:r/>
    </w:p>
    <w:p>
      <w:pPr>
        <w:rPr>
          <w:rFonts w:ascii="仿宋" w:hAnsi="仿宋"/>
          <w:szCs w:val="28"/>
          <w:highlight w:val="none"/>
        </w:rPr>
      </w:pPr>
      <w:r>
        <w:rPr>
          <w:rFonts w:ascii="仿宋" w:hAnsi="仿宋"/>
          <w:szCs w:val="28"/>
          <w:highlight w:val="none"/>
        </w:rPr>
        <w:t xml:space="preserve">2. 本合同一式三份，甲乙双方各执一份，一份报送政府采购监督管理部门备案。 </w:t>
      </w:r>
      <w:r/>
    </w:p>
    <w:p>
      <w:pPr>
        <w:rPr>
          <w:rFonts w:ascii="仿宋" w:hAnsi="仿宋"/>
          <w:szCs w:val="28"/>
          <w:highlight w:val="none"/>
        </w:rPr>
      </w:pPr>
      <w:r>
        <w:rPr>
          <w:rFonts w:ascii="仿宋" w:hAnsi="仿宋"/>
          <w:szCs w:val="28"/>
          <w:highlight w:val="none"/>
        </w:rPr>
        <w:t xml:space="preserve">3. 本合同应按照中华人民共和国的现行法律进行解释。</w:t>
      </w:r>
      <w:r/>
    </w:p>
    <w:p>
      <w:pPr>
        <w:ind w:firstLine="420"/>
        <w:jc w:val="left"/>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sz w:val="24"/>
          <w:highlight w:val="none"/>
        </w:rPr>
      </w:pPr>
      <w:r>
        <w:rPr>
          <w:rFonts w:hint="eastAsia" w:ascii="宋体" w:hAnsi="宋体" w:cs="宋体"/>
          <w:szCs w:val="21"/>
          <w:highlight w:val="none"/>
        </w:rPr>
        <w:br w:type="textWrapping" w:clear="all"/>
      </w:r>
      <w:r>
        <w:rPr>
          <w:rFonts w:hint="eastAsia" w:ascii="宋体" w:hAnsi="宋体" w:cs="宋体"/>
          <w:szCs w:val="21"/>
          <w:highlight w:val="none"/>
        </w:rPr>
        <w:t xml:space="preserve">【以下无正文】</w:t>
      </w:r>
      <w:r>
        <w:rPr>
          <w:rFonts w:hint="eastAsia" w:ascii="宋体" w:hAnsi="宋体" w:cs="宋体"/>
          <w:sz w:val="24"/>
          <w:highlight w:val="none"/>
        </w:rPr>
        <w:t xml:space="preserve"> </w:t>
      </w:r>
      <w:r/>
    </w:p>
    <w:tbl>
      <w:tblPr>
        <w:tblStyle w:val="812"/>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val="false"/>
          </w:tcPr>
          <w:p>
            <w:pPr>
              <w:jc w:val="left"/>
              <w:spacing w:line="360" w:lineRule="auto"/>
              <w:rPr>
                <w:bCs/>
                <w:szCs w:val="21"/>
                <w:highlight w:val="none"/>
              </w:rPr>
            </w:pPr>
            <w:r>
              <w:rPr>
                <w:rFonts w:hint="eastAsia"/>
                <w:bCs/>
                <w:szCs w:val="21"/>
                <w:highlight w:val="none"/>
              </w:rPr>
              <w:t xml:space="preserve">甲方（采购人）：（盖章）</w:t>
            </w:r>
            <w:r/>
          </w:p>
          <w:p>
            <w:pPr>
              <w:jc w:val="left"/>
              <w:spacing w:line="360" w:lineRule="auto"/>
              <w:rPr>
                <w:bCs/>
                <w:szCs w:val="21"/>
                <w:highlight w:val="none"/>
              </w:rPr>
            </w:pPr>
            <w:r>
              <w:rPr>
                <w:rFonts w:hint="eastAsia"/>
                <w:bCs/>
                <w:szCs w:val="21"/>
                <w:highlight w:val="none"/>
              </w:rPr>
              <w:t xml:space="preserve">法定代表人或</w:t>
            </w:r>
            <w:r/>
          </w:p>
          <w:p>
            <w:pPr>
              <w:jc w:val="left"/>
              <w:spacing w:line="360" w:lineRule="auto"/>
              <w:rPr>
                <w:bCs/>
                <w:szCs w:val="21"/>
                <w:highlight w:val="none"/>
              </w:rPr>
            </w:pPr>
            <w:r>
              <w:rPr>
                <w:rFonts w:hint="eastAsia"/>
                <w:bCs/>
                <w:szCs w:val="21"/>
                <w:highlight w:val="none"/>
              </w:rPr>
              <w:t xml:space="preserve">委托代理人：（签字或盖章）</w:t>
            </w:r>
            <w:r/>
          </w:p>
          <w:p>
            <w:pPr>
              <w:jc w:val="left"/>
              <w:spacing w:line="360" w:lineRule="auto"/>
              <w:rPr>
                <w:bCs/>
                <w:szCs w:val="21"/>
                <w:highlight w:val="none"/>
              </w:rPr>
            </w:pPr>
            <w:r>
              <w:rPr>
                <w:rFonts w:hint="eastAsia"/>
                <w:bCs/>
                <w:szCs w:val="21"/>
                <w:highlight w:val="none"/>
              </w:rPr>
              <w:t xml:space="preserve">日期：</w:t>
            </w:r>
            <w:r>
              <w:rPr>
                <w:bCs/>
                <w:szCs w:val="21"/>
                <w:highlight w:val="none"/>
              </w:rPr>
              <w:t xml:space="preserve">   </w:t>
            </w:r>
            <w:r>
              <w:rPr>
                <w:rFonts w:hint="eastAsia"/>
                <w:bCs/>
                <w:szCs w:val="21"/>
                <w:highlight w:val="none"/>
              </w:rPr>
              <w:t xml:space="preserve">年  月  日</w:t>
            </w:r>
            <w:r/>
          </w:p>
        </w:tc>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spacing w:line="360" w:lineRule="auto"/>
              <w:rPr>
                <w:bCs/>
                <w:szCs w:val="21"/>
                <w:highlight w:val="none"/>
              </w:rPr>
            </w:pPr>
            <w:r>
              <w:rPr>
                <w:rFonts w:hint="eastAsia"/>
                <w:bCs/>
                <w:szCs w:val="21"/>
                <w:highlight w:val="none"/>
              </w:rPr>
              <w:t xml:space="preserve">乙方（供应商）：（盖章）</w:t>
            </w:r>
            <w:r/>
          </w:p>
          <w:p>
            <w:pPr>
              <w:jc w:val="left"/>
              <w:spacing w:line="360" w:lineRule="auto"/>
              <w:rPr>
                <w:bCs/>
                <w:szCs w:val="21"/>
                <w:highlight w:val="none"/>
              </w:rPr>
            </w:pPr>
            <w:r>
              <w:rPr>
                <w:rFonts w:hint="eastAsia"/>
                <w:bCs/>
                <w:szCs w:val="21"/>
                <w:highlight w:val="none"/>
              </w:rPr>
              <w:t xml:space="preserve">法定代表人或</w:t>
            </w:r>
            <w:r/>
          </w:p>
          <w:p>
            <w:pPr>
              <w:jc w:val="left"/>
              <w:spacing w:line="360" w:lineRule="auto"/>
              <w:rPr>
                <w:bCs/>
                <w:szCs w:val="21"/>
                <w:highlight w:val="none"/>
              </w:rPr>
            </w:pPr>
            <w:r>
              <w:rPr>
                <w:rFonts w:hint="eastAsia"/>
                <w:bCs/>
                <w:szCs w:val="21"/>
                <w:highlight w:val="none"/>
              </w:rPr>
              <w:t xml:space="preserve">委托代理人：（签字或盖章）</w:t>
            </w:r>
            <w:r/>
          </w:p>
          <w:p>
            <w:pPr>
              <w:jc w:val="left"/>
              <w:spacing w:line="360" w:lineRule="auto"/>
              <w:rPr>
                <w:bCs/>
                <w:szCs w:val="21"/>
                <w:highlight w:val="none"/>
              </w:rPr>
            </w:pPr>
            <w:r>
              <w:rPr>
                <w:rFonts w:hint="eastAsia"/>
                <w:bCs/>
                <w:szCs w:val="21"/>
                <w:highlight w:val="none"/>
              </w:rPr>
              <w:t xml:space="preserve">项目负责人：</w:t>
            </w:r>
            <w:r/>
          </w:p>
          <w:p>
            <w:pPr>
              <w:jc w:val="left"/>
              <w:spacing w:line="360" w:lineRule="auto"/>
              <w:rPr>
                <w:bCs/>
                <w:szCs w:val="21"/>
                <w:highlight w:val="none"/>
              </w:rPr>
            </w:pPr>
            <w:r>
              <w:rPr>
                <w:rFonts w:hint="eastAsia"/>
                <w:bCs/>
                <w:szCs w:val="21"/>
                <w:highlight w:val="none"/>
              </w:rPr>
              <w:t xml:space="preserve">电话：</w:t>
            </w:r>
            <w:r/>
          </w:p>
          <w:p>
            <w:pPr>
              <w:jc w:val="left"/>
              <w:spacing w:line="360" w:lineRule="auto"/>
              <w:rPr>
                <w:bCs/>
                <w:szCs w:val="21"/>
                <w:highlight w:val="none"/>
              </w:rPr>
            </w:pPr>
            <w:r>
              <w:rPr>
                <w:rFonts w:hint="eastAsia"/>
                <w:bCs/>
                <w:szCs w:val="21"/>
                <w:highlight w:val="none"/>
              </w:rPr>
              <w:t xml:space="preserve">开户银行：</w:t>
            </w:r>
            <w:r/>
          </w:p>
          <w:p>
            <w:pPr>
              <w:jc w:val="left"/>
              <w:spacing w:line="360" w:lineRule="auto"/>
              <w:rPr>
                <w:bCs/>
                <w:szCs w:val="21"/>
                <w:highlight w:val="none"/>
              </w:rPr>
            </w:pPr>
            <w:r>
              <w:rPr>
                <w:rFonts w:hint="eastAsia"/>
                <w:bCs/>
                <w:szCs w:val="21"/>
                <w:highlight w:val="none"/>
              </w:rPr>
              <w:t xml:space="preserve">账号：</w:t>
            </w:r>
            <w:r/>
          </w:p>
          <w:p>
            <w:pPr>
              <w:jc w:val="left"/>
              <w:spacing w:line="360" w:lineRule="auto"/>
              <w:rPr>
                <w:bCs/>
                <w:szCs w:val="21"/>
                <w:highlight w:val="none"/>
              </w:rPr>
            </w:pPr>
            <w:r>
              <w:rPr>
                <w:rFonts w:hint="eastAsia"/>
                <w:bCs/>
                <w:szCs w:val="21"/>
                <w:highlight w:val="none"/>
              </w:rPr>
              <w:t xml:space="preserve">单位地址：</w:t>
            </w:r>
            <w:r/>
          </w:p>
          <w:p>
            <w:pPr>
              <w:jc w:val="left"/>
              <w:spacing w:line="360" w:lineRule="auto"/>
              <w:rPr>
                <w:bCs/>
                <w:szCs w:val="21"/>
                <w:highlight w:val="none"/>
              </w:rPr>
            </w:pPr>
            <w:r>
              <w:rPr>
                <w:rFonts w:hint="eastAsia"/>
                <w:bCs/>
                <w:szCs w:val="21"/>
                <w:highlight w:val="none"/>
              </w:rPr>
              <w:t xml:space="preserve">日期：</w:t>
            </w:r>
            <w:r>
              <w:rPr>
                <w:bCs/>
                <w:szCs w:val="21"/>
                <w:highlight w:val="none"/>
              </w:rPr>
              <w:t xml:space="preserve">   </w:t>
            </w:r>
            <w:r>
              <w:rPr>
                <w:rFonts w:hint="eastAsia"/>
                <w:bCs/>
                <w:szCs w:val="21"/>
                <w:highlight w:val="none"/>
              </w:rPr>
              <w:t xml:space="preserve">年  月  日</w:t>
            </w:r>
            <w:r/>
          </w:p>
        </w:tc>
      </w:tr>
    </w:tbl>
    <w:p>
      <w:pP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br w:type="page" w:clear="all"/>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t xml:space="preserve">第六章  响应文件格式</w:t>
      </w:r>
      <w:bookmarkEnd w:id="208"/>
      <w:r/>
      <w:bookmarkEnd w:id="209"/>
      <w:r/>
      <w:bookmarkEnd w:id="210"/>
      <w:r/>
      <w:r/>
    </w:p>
    <w:p>
      <w:pPr>
        <w:ind w:left="268" w:right="292"/>
        <w:jc w:val="center"/>
        <w:rPr>
          <w:rFonts w:hint="default" w:ascii="Times New Roman" w:hAnsi="Times New Roman" w:eastAsia="宋体" w:cs="Times New Roman"/>
          <w:b/>
          <w:color w:val="auto"/>
          <w:sz w:val="72"/>
          <w:highlight w:val="none"/>
        </w:rPr>
        <w:outlineLvl w:val="0"/>
      </w:pPr>
      <w:r/>
      <w:bookmarkStart w:id="211" w:name="_Toc31944_WPSOffice_Level1"/>
      <w:r/>
      <w:bookmarkStart w:id="212" w:name="_Toc3759"/>
      <w:r>
        <w:rPr>
          <w:rFonts w:hint="default" w:ascii="Times New Roman" w:hAnsi="Times New Roman" w:eastAsia="宋体" w:cs="Times New Roman"/>
          <w:b/>
          <w:color w:val="auto"/>
          <w:sz w:val="72"/>
          <w:highlight w:val="none"/>
        </w:rPr>
        <w:t xml:space="preserve">竞争性磋</w:t>
      </w:r>
      <w:r>
        <w:rPr>
          <w:rFonts w:hint="default" w:ascii="Times New Roman" w:hAnsi="Times New Roman" w:eastAsia="宋体" w:cs="Times New Roman"/>
          <w:b/>
          <w:color w:val="auto"/>
          <w:sz w:val="72"/>
          <w:highlight w:val="none"/>
          <w:lang w:val="en-US"/>
        </w:rPr>
        <w:t xml:space="preserve">商响应</w:t>
      </w:r>
      <w:r>
        <w:rPr>
          <w:rFonts w:hint="default" w:ascii="Times New Roman" w:hAnsi="Times New Roman" w:eastAsia="宋体" w:cs="Times New Roman"/>
          <w:b/>
          <w:color w:val="auto"/>
          <w:sz w:val="72"/>
          <w:highlight w:val="none"/>
        </w:rPr>
        <w:t xml:space="preserve">文件</w:t>
      </w:r>
      <w:bookmarkEnd w:id="211"/>
      <w:r/>
      <w:bookmarkEnd w:id="212"/>
      <w:r/>
      <w:r/>
    </w:p>
    <w:p>
      <w:pPr>
        <w:pStyle w:val="817"/>
        <w:rPr>
          <w:rFonts w:hint="default" w:ascii="Times New Roman" w:hAnsi="Times New Roman" w:eastAsia="宋体" w:cs="Times New Roman"/>
          <w:b/>
          <w:color w:val="auto"/>
          <w:sz w:val="72"/>
          <w:highlight w:val="none"/>
        </w:rPr>
        <w:outlineLvl w:val="9"/>
      </w:pPr>
      <w:r>
        <w:rPr>
          <w:rFonts w:hint="default" w:ascii="Times New Roman" w:hAnsi="Times New Roman" w:eastAsia="宋体" w:cs="Times New Roman"/>
          <w:b/>
          <w:color w:val="auto"/>
          <w:sz w:val="72"/>
          <w:highlight w:val="none"/>
        </w:rPr>
      </w:r>
      <w:r/>
    </w:p>
    <w:p>
      <w:pPr>
        <w:pStyle w:val="817"/>
        <w:rPr>
          <w:rFonts w:hint="default" w:ascii="Times New Roman" w:hAnsi="Times New Roman" w:eastAsia="宋体" w:cs="Times New Roman"/>
          <w:b/>
          <w:color w:val="auto"/>
          <w:sz w:val="72"/>
          <w:highlight w:val="none"/>
        </w:rPr>
        <w:outlineLvl w:val="9"/>
      </w:pPr>
      <w:r>
        <w:rPr>
          <w:rFonts w:hint="default" w:ascii="Times New Roman" w:hAnsi="Times New Roman" w:eastAsia="宋体" w:cs="Times New Roman"/>
          <w:b/>
          <w:color w:val="auto"/>
          <w:sz w:val="72"/>
          <w:highlight w:val="none"/>
        </w:rPr>
      </w:r>
      <w:r/>
    </w:p>
    <w:p>
      <w:pPr>
        <w:pStyle w:val="817"/>
        <w:spacing w:before="8"/>
        <w:rPr>
          <w:rFonts w:hint="default" w:ascii="Times New Roman" w:hAnsi="Times New Roman" w:eastAsia="宋体" w:cs="Times New Roman"/>
          <w:b/>
          <w:color w:val="auto"/>
          <w:sz w:val="57"/>
          <w:highlight w:val="none"/>
        </w:rPr>
        <w:outlineLvl w:val="9"/>
      </w:pPr>
      <w:r>
        <w:rPr>
          <w:rFonts w:hint="default" w:ascii="Times New Roman" w:hAnsi="Times New Roman" w:eastAsia="宋体" w:cs="Times New Roman"/>
          <w:b/>
          <w:color w:val="auto"/>
          <w:sz w:val="57"/>
          <w:highlight w:val="none"/>
        </w:rPr>
      </w:r>
      <w:r/>
    </w:p>
    <w:p>
      <w:pPr>
        <w:ind w:left="1303"/>
        <w:tabs>
          <w:tab w:val="left" w:pos="6451" w:leader="none"/>
        </w:tabs>
        <w:rPr>
          <w:rFonts w:hint="default" w:ascii="Times New Roman" w:hAnsi="Times New Roman" w:eastAsia="宋体" w:cs="Times New Roman"/>
          <w:b/>
          <w:color w:val="auto"/>
          <w:sz w:val="36"/>
          <w:highlight w:val="none"/>
        </w:rPr>
        <w:outlineLvl w:val="0"/>
      </w:pPr>
      <w:r/>
      <w:bookmarkStart w:id="213" w:name="_Toc20564"/>
      <w:r>
        <w:rPr>
          <w:rFonts w:hint="default" w:ascii="Times New Roman" w:hAnsi="Times New Roman" w:eastAsia="宋体" w:cs="Times New Roman"/>
          <w:b/>
          <w:color w:val="auto"/>
          <w:sz w:val="36"/>
          <w:highlight w:val="none"/>
        </w:rPr>
        <w:t xml:space="preserve">项</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目</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编号：</w:t>
      </w:r>
      <w:bookmarkEnd w:id="213"/>
      <w:r>
        <w:rPr>
          <w:rFonts w:hint="default" w:ascii="Times New Roman" w:hAnsi="Times New Roman" w:eastAsia="宋体" w:cs="Times New Roman"/>
          <w:b/>
          <w:color w:val="auto"/>
          <w:sz w:val="36"/>
          <w:highlight w:val="none"/>
        </w:rPr>
        <w:t xml:space="preserve"> </w:t>
      </w:r>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ind w:left="1303"/>
        <w:spacing w:before="163"/>
        <w:tabs>
          <w:tab w:val="left" w:pos="6451" w:leader="none"/>
        </w:tabs>
        <w:rPr>
          <w:rFonts w:hint="default" w:ascii="Times New Roman" w:hAnsi="Times New Roman" w:eastAsia="宋体" w:cs="Times New Roman"/>
          <w:b/>
          <w:color w:val="auto"/>
          <w:sz w:val="36"/>
          <w:highlight w:val="none"/>
        </w:rPr>
        <w:outlineLvl w:val="0"/>
      </w:pPr>
      <w:r/>
      <w:bookmarkStart w:id="214" w:name="_Toc19835"/>
      <w:r>
        <w:rPr>
          <w:rFonts w:hint="default" w:ascii="Times New Roman" w:hAnsi="Times New Roman" w:eastAsia="宋体" w:cs="Times New Roman"/>
          <w:b/>
          <w:color w:val="auto"/>
          <w:sz w:val="36"/>
          <w:highlight w:val="none"/>
        </w:rPr>
        <w:t xml:space="preserve">项</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目</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名称：</w:t>
      </w:r>
      <w:bookmarkEnd w:id="214"/>
      <w:r>
        <w:rPr>
          <w:rFonts w:hint="default" w:ascii="Times New Roman" w:hAnsi="Times New Roman" w:eastAsia="宋体" w:cs="Times New Roman"/>
          <w:b/>
          <w:color w:val="auto"/>
          <w:sz w:val="36"/>
          <w:highlight w:val="none"/>
        </w:rPr>
        <w:t xml:space="preserve"> </w:t>
      </w:r>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ind w:left="1488" w:right="2466"/>
        <w:spacing w:before="195" w:line="324" w:lineRule="auto"/>
        <w:tabs>
          <w:tab w:val="left" w:pos="2932" w:leader="none"/>
          <w:tab w:val="left" w:pos="6636" w:leader="none"/>
        </w:tabs>
        <w:rPr>
          <w:rFonts w:hint="default" w:ascii="Times New Roman" w:hAnsi="Times New Roman" w:eastAsia="宋体" w:cs="Times New Roman"/>
          <w:b/>
          <w:color w:val="auto"/>
          <w:sz w:val="36"/>
          <w:highlight w:val="none"/>
        </w:rPr>
        <w:outlineLvl w:val="0"/>
      </w:pPr>
      <w:r/>
      <w:bookmarkStart w:id="215" w:name="_Toc26549"/>
      <w:r>
        <w:rPr>
          <w:rFonts w:hint="default" w:ascii="Times New Roman" w:hAnsi="Times New Roman" w:eastAsia="宋体" w:cs="Times New Roman"/>
          <w:b/>
          <w:color w:val="auto"/>
          <w:sz w:val="36"/>
          <w:highlight w:val="none"/>
        </w:rPr>
        <w:t xml:space="preserve">供应商名称</w:t>
      </w:r>
      <w:r>
        <w:rPr>
          <w:rFonts w:hint="default" w:ascii="Times New Roman" w:hAnsi="Times New Roman" w:eastAsia="宋体" w:cs="Times New Roman"/>
          <w:b/>
          <w:color w:val="auto"/>
          <w:spacing w:val="-3"/>
          <w:sz w:val="36"/>
          <w:highlight w:val="none"/>
        </w:rPr>
        <w:t xml:space="preserve"> </w:t>
      </w:r>
      <w:r>
        <w:rPr>
          <w:rFonts w:hint="default" w:ascii="Times New Roman" w:hAnsi="Times New Roman" w:eastAsia="宋体" w:cs="Times New Roman"/>
          <w:b/>
          <w:color w:val="auto"/>
          <w:sz w:val="36"/>
          <w:highlight w:val="none"/>
        </w:rPr>
        <w:t xml:space="preserve">：</w:t>
      </w:r>
      <w:bookmarkStart w:id="216" w:name="OLE_LINK12"/>
      <w:r>
        <w:rPr>
          <w:rFonts w:hint="default" w:ascii="Times New Roman" w:hAnsi="Times New Roman" w:eastAsia="宋体" w:cs="Times New Roman"/>
          <w:b/>
          <w:color w:val="auto"/>
          <w:sz w:val="36"/>
          <w:highlight w:val="none"/>
        </w:rPr>
        <w:t xml:space="preserve">（电子签章）</w:t>
      </w:r>
      <w:bookmarkEnd w:id="215"/>
      <w:r/>
      <w:bookmarkEnd w:id="216"/>
      <w:r>
        <w:rPr>
          <w:rFonts w:hint="default" w:ascii="Times New Roman" w:hAnsi="Times New Roman" w:eastAsia="宋体" w:cs="Times New Roman"/>
          <w:b/>
          <w:color w:val="auto"/>
          <w:sz w:val="36"/>
          <w:highlight w:val="none"/>
        </w:rPr>
        <w:t xml:space="preserve"> </w:t>
      </w:r>
      <w:r/>
    </w:p>
    <w:p>
      <w:pPr>
        <w:ind w:left="1488" w:right="3307"/>
        <w:spacing w:before="195" w:line="324" w:lineRule="auto"/>
        <w:tabs>
          <w:tab w:val="left" w:pos="2932" w:leader="none"/>
          <w:tab w:val="left" w:pos="6636" w:leader="none"/>
        </w:tabs>
        <w:rPr>
          <w:rFonts w:hint="default" w:ascii="Times New Roman" w:hAnsi="Times New Roman" w:eastAsia="宋体" w:cs="Times New Roman"/>
          <w:b/>
          <w:color w:val="auto"/>
          <w:sz w:val="36"/>
          <w:highlight w:val="none"/>
        </w:rPr>
        <w:outlineLvl w:val="0"/>
      </w:pPr>
      <w:r/>
      <w:bookmarkStart w:id="217" w:name="_Toc7205"/>
      <w:r>
        <w:rPr>
          <w:rFonts w:hint="default" w:ascii="Times New Roman" w:hAnsi="Times New Roman" w:eastAsia="宋体" w:cs="Times New Roman"/>
          <w:b/>
          <w:color w:val="auto"/>
          <w:sz w:val="36"/>
          <w:highlight w:val="none"/>
        </w:rPr>
        <w:t xml:space="preserve">日</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期</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w:t>
      </w:r>
      <w:bookmarkEnd w:id="217"/>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spacing w:line="324" w:lineRule="auto"/>
        <w:rPr>
          <w:rFonts w:hint="default" w:ascii="Times New Roman" w:hAnsi="Times New Roman" w:eastAsia="宋体" w:cs="Times New Roman"/>
          <w:color w:val="auto"/>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425" w:equalWidth="1"/>
          <w:docGrid w:linePitch="360"/>
        </w:sectPr>
        <w:outlineLvl w:val="9"/>
      </w:pPr>
      <w:r>
        <w:rPr>
          <w:rFonts w:hint="default" w:ascii="Times New Roman" w:hAnsi="Times New Roman" w:eastAsia="宋体" w:cs="Times New Roman"/>
          <w:color w:val="auto"/>
          <w:sz w:val="36"/>
          <w:highlight w:val="none"/>
        </w:rPr>
      </w:r>
      <w:r/>
    </w:p>
    <w:p>
      <w:pPr>
        <w:ind w:left="268" w:right="295"/>
        <w:jc w:val="center"/>
        <w:spacing w:before="58"/>
        <w:rPr>
          <w:rFonts w:hint="default" w:ascii="Times New Roman" w:hAnsi="Times New Roman" w:eastAsia="宋体" w:cs="Times New Roman"/>
          <w:b/>
          <w:bCs/>
          <w:color w:val="auto"/>
          <w:sz w:val="32"/>
          <w:szCs w:val="32"/>
          <w:highlight w:val="none"/>
          <w:lang w:val="en-US"/>
        </w:rPr>
        <w:outlineLvl w:val="0"/>
      </w:pPr>
      <w:r/>
      <w:bookmarkStart w:id="218" w:name="_bookmark14"/>
      <w:r/>
      <w:bookmarkEnd w:id="218"/>
      <w:r/>
      <w:bookmarkStart w:id="219" w:name="_Toc3306"/>
      <w:r/>
      <w:bookmarkStart w:id="220" w:name="_Toc27696_WPSOffice_Level1"/>
      <w:r>
        <w:rPr>
          <w:rFonts w:hint="default" w:ascii="Times New Roman" w:hAnsi="Times New Roman" w:eastAsia="宋体" w:cs="Times New Roman"/>
          <w:b/>
          <w:bCs/>
          <w:color w:val="auto"/>
          <w:sz w:val="32"/>
          <w:szCs w:val="32"/>
          <w:highlight w:val="none"/>
        </w:rPr>
        <w:t xml:space="preserve">响应文件目录</w:t>
      </w:r>
      <w:r>
        <w:rPr>
          <w:rFonts w:hint="default" w:ascii="Times New Roman" w:hAnsi="Times New Roman" w:eastAsia="宋体" w:cs="Times New Roman"/>
          <w:b/>
          <w:bCs/>
          <w:color w:val="auto"/>
          <w:sz w:val="32"/>
          <w:szCs w:val="32"/>
          <w:highlight w:val="none"/>
          <w:lang w:val="en-US"/>
        </w:rPr>
        <w:t xml:space="preserve">(格式自拟)</w:t>
      </w:r>
      <w:bookmarkEnd w:id="219"/>
      <w:r/>
      <w:bookmarkEnd w:id="220"/>
      <w:r/>
      <w:r/>
    </w:p>
    <w:p>
      <w:pPr>
        <w:pStyle w:val="817"/>
        <w:rPr>
          <w:rFonts w:hint="default" w:ascii="Times New Roman" w:hAnsi="Times New Roman" w:eastAsia="宋体" w:cs="Times New Roman"/>
          <w:b/>
          <w:bCs/>
          <w:color w:val="auto"/>
          <w:sz w:val="32"/>
          <w:szCs w:val="32"/>
          <w:highlight w:val="none"/>
        </w:rPr>
        <w:outlineLvl w:val="9"/>
      </w:pPr>
      <w:r>
        <w:rPr>
          <w:rFonts w:hint="default" w:ascii="Times New Roman" w:hAnsi="Times New Roman" w:eastAsia="宋体" w:cs="Times New Roman"/>
          <w:b/>
          <w:bCs/>
          <w:color w:val="auto"/>
          <w:sz w:val="32"/>
          <w:szCs w:val="32"/>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36"/>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68" w:right="295"/>
        <w:jc w:val="center"/>
        <w:spacing w:before="5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评分索引表</w:t>
      </w:r>
      <w:r/>
    </w:p>
    <w:p>
      <w:pPr>
        <w:pStyle w:val="817"/>
        <w:spacing w:before="11"/>
        <w:rPr>
          <w:rFonts w:hint="default" w:ascii="Times New Roman" w:hAnsi="Times New Roman" w:eastAsia="宋体" w:cs="Times New Roman"/>
          <w:b/>
          <w:color w:val="auto"/>
          <w:sz w:val="7"/>
          <w:highlight w:val="none"/>
        </w:rPr>
      </w:pPr>
      <w:r>
        <w:rPr>
          <w:rFonts w:hint="default" w:ascii="Times New Roman" w:hAnsi="Times New Roman" w:eastAsia="宋体" w:cs="Times New Roman"/>
          <w:b/>
          <w:color w:val="auto"/>
          <w:sz w:val="7"/>
          <w:highlight w:val="none"/>
        </w:rPr>
      </w:r>
      <w:r/>
    </w:p>
    <w:tbl>
      <w:tblPr>
        <w:tblStyle w:val="812"/>
        <w:tblW w:w="9240"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467"/>
        </w:trPr>
        <w:tc>
          <w:tcPr>
            <w:tcW w:w="5670" w:type="dxa"/>
            <w:textDirection w:val="lrTb"/>
            <w:noWrap w:val="false"/>
          </w:tcPr>
          <w:p>
            <w:pPr>
              <w:pStyle w:val="1013"/>
              <w:ind w:left="3344"/>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评分项目</w:t>
            </w:r>
            <w:r/>
          </w:p>
        </w:tc>
        <w:tc>
          <w:tcPr>
            <w:tcW w:w="3570" w:type="dxa"/>
            <w:textDirection w:val="lrTb"/>
            <w:noWrap w:val="false"/>
          </w:tcPr>
          <w:p>
            <w:pPr>
              <w:pStyle w:val="1013"/>
              <w:ind w:left="62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在投标文件中的页码位置</w:t>
            </w:r>
            <w:r/>
          </w:p>
        </w:tc>
      </w:tr>
      <w:tr>
        <w:trPr>
          <w:trHeight w:val="468"/>
        </w:trPr>
        <w:tc>
          <w:tcPr>
            <w:tcW w:w="56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13"/>
              <w:ind w:left="1966"/>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行数不够，自行添加</w:t>
            </w:r>
            <w:r/>
          </w:p>
        </w:tc>
        <w:tc>
          <w:tcPr>
            <w:tcW w:w="357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17"/>
        <w:ind w:left="223"/>
        <w:spacing w:before="9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注：建议投标供应商为《投标书》制作详细目录，并将该《评分索引表》放在投标书目录之前。</w:t>
      </w:r>
      <w:r/>
    </w:p>
    <w:p>
      <w:pPr>
        <w:rPr>
          <w:rFonts w:hint="default" w:ascii="Times New Roman" w:hAnsi="Times New Roman" w:eastAsia="宋体" w:cs="Times New Roman"/>
          <w:color w:val="auto"/>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21" w:name="一、磋商申请及声明"/>
      <w:r/>
      <w:bookmarkEnd w:id="221"/>
      <w:r/>
      <w:bookmarkStart w:id="222" w:name="_Toc24463_WPSOffice_Level1"/>
      <w:r/>
      <w:bookmarkStart w:id="223" w:name="_Toc2578"/>
      <w:r/>
      <w:bookmarkStart w:id="224" w:name="_Toc1744"/>
      <w:r>
        <w:rPr>
          <w:rFonts w:hint="default" w:ascii="Times New Roman" w:hAnsi="Times New Roman" w:eastAsia="宋体" w:cs="Times New Roman"/>
          <w:color w:val="auto"/>
          <w:highlight w:val="none"/>
        </w:rPr>
        <w:t xml:space="preserve">一、磋商申请及声明</w:t>
      </w:r>
      <w:bookmarkEnd w:id="222"/>
      <w:r/>
      <w:bookmarkEnd w:id="223"/>
      <w:r/>
      <w:bookmarkEnd w:id="224"/>
      <w:r/>
      <w:r/>
    </w:p>
    <w:p>
      <w:pPr>
        <w:jc w:val="center"/>
        <w:rPr>
          <w:rFonts w:hint="default" w:ascii="Times New Roman" w:hAnsi="Times New Roman" w:eastAsia="宋体" w:cs="Times New Roman"/>
          <w:bCs/>
          <w:color w:val="auto"/>
          <w:sz w:val="28"/>
          <w:szCs w:val="28"/>
          <w:highlight w:val="none"/>
          <w:lang w:val="en-US" w:bidi="ar-SA"/>
        </w:rPr>
        <w:outlineLvl w:val="1"/>
      </w:pPr>
      <w:r>
        <w:rPr>
          <w:rFonts w:hint="default" w:ascii="Times New Roman" w:hAnsi="Times New Roman" w:eastAsia="宋体" w:cs="Times New Roman"/>
          <w:bCs/>
          <w:color w:val="auto"/>
          <w:sz w:val="28"/>
          <w:szCs w:val="28"/>
          <w:highlight w:val="none"/>
          <w:lang w:bidi="ar-SA"/>
        </w:rPr>
        <w:t xml:space="preserve">磋商申请及声明</w:t>
      </w:r>
      <w:r>
        <w:rPr>
          <w:rFonts w:hint="default" w:ascii="Times New Roman" w:hAnsi="Times New Roman" w:eastAsia="宋体" w:cs="Times New Roman"/>
          <w:bCs/>
          <w:color w:val="auto"/>
          <w:sz w:val="28"/>
          <w:szCs w:val="28"/>
          <w:highlight w:val="none"/>
          <w:lang w:val="en-US" w:bidi="ar-SA"/>
        </w:rPr>
        <w:t xml:space="preserve">(投标函)</w:t>
      </w:r>
      <w:r/>
    </w:p>
    <w:p>
      <w:pPr>
        <w:jc w:val="center"/>
        <w:rPr>
          <w:rFonts w:hint="default" w:ascii="Times New Roman" w:hAnsi="Times New Roman" w:eastAsia="宋体" w:cs="Times New Roman"/>
          <w:bCs/>
          <w:color w:val="auto"/>
          <w:sz w:val="28"/>
          <w:szCs w:val="28"/>
          <w:highlight w:val="none"/>
          <w:lang w:bidi="ar-SA"/>
        </w:rPr>
        <w:sectPr>
          <w:footnotePr/>
          <w:endnotePr/>
          <w:type w:val="nextPage"/>
          <w:pgSz w:w="11900" w:h="16840" w:orient="portrait"/>
          <w:pgMar w:top="1429" w:right="1417" w:bottom="1066" w:left="1417" w:header="765" w:footer="720" w:gutter="0"/>
          <w:cols w:num="1" w:sep="0" w:space="425" w:equalWidth="1"/>
          <w:docGrid w:linePitch="360"/>
        </w:sectPr>
        <w:outlineLvl w:val="9"/>
      </w:pPr>
      <w:r>
        <w:rPr>
          <w:rFonts w:hint="default" w:ascii="Times New Roman" w:hAnsi="Times New Roman" w:eastAsia="宋体" w:cs="Times New Roman"/>
          <w:bCs/>
          <w:color w:val="auto"/>
          <w:sz w:val="28"/>
          <w:szCs w:val="28"/>
          <w:highlight w:val="none"/>
          <w:lang w:bidi="ar-SA"/>
        </w:rPr>
      </w:r>
      <w:r/>
    </w:p>
    <w:p>
      <w:pPr>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致：</w:t>
      </w:r>
      <w:r>
        <w:rPr>
          <w:rFonts w:hint="default" w:ascii="Times New Roman" w:hAnsi="Times New Roman" w:eastAsia="宋体" w:cs="Times New Roman"/>
          <w:color w:val="auto"/>
          <w:sz w:val="22"/>
          <w:highlight w:val="none"/>
          <w:lang w:eastAsia="zh-CN"/>
        </w:rPr>
        <w:t xml:space="preserve">南京市江宁区农业农村局</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根据贵方</w:t>
      </w:r>
      <w:r>
        <w:rPr>
          <w:rFonts w:hint="eastAsia" w:ascii="Times New Roman" w:hAnsi="Times New Roman" w:cs="Times New Roman"/>
          <w:color w:val="auto"/>
          <w:sz w:val="22"/>
          <w:highlight w:val="none"/>
          <w:u w:val="single"/>
          <w:lang w:val="en-US" w:eastAsia="zh-CN"/>
        </w:rPr>
        <w:t xml:space="preserve">                                          </w:t>
      </w:r>
      <w:r>
        <w:rPr>
          <w:rFonts w:hint="default" w:ascii="Times New Roman" w:hAnsi="Times New Roman" w:eastAsia="宋体" w:cs="Times New Roman"/>
          <w:color w:val="auto"/>
          <w:sz w:val="22"/>
          <w:highlight w:val="none"/>
        </w:rPr>
        <w:t xml:space="preserve">号采购文件，正式授权下述签字人</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(姓名和职务)代表</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（供应商名称），提交响应文件并参加磋商。</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据此函，签字人兹宣布声明和承诺如下：</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1、我们的资格条件完全符合政府采购法和本次招标要求，我们同意并向贵方提供了与投标有关的所有证据和资料。</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2、按招标要求，我们的投标报价为</w:t>
      </w:r>
      <w:r>
        <w:rPr>
          <w:rFonts w:hint="eastAsia" w:ascii="Times New Roman" w:hAnsi="Times New Roman" w:cs="Times New Roman"/>
          <w:color w:val="auto"/>
          <w:sz w:val="22"/>
          <w:szCs w:val="21"/>
          <w:highlight w:val="none"/>
          <w:u w:val="none"/>
          <w:lang w:val="en-US" w:eastAsia="zh-CN"/>
        </w:rPr>
        <w:t xml:space="preserve">（</w:t>
      </w:r>
      <w:r>
        <w:rPr>
          <w:rFonts w:hint="default" w:ascii="Times New Roman" w:hAnsi="Times New Roman" w:eastAsia="宋体" w:cs="Times New Roman"/>
          <w:color w:val="auto"/>
          <w:sz w:val="22"/>
          <w:szCs w:val="21"/>
          <w:highlight w:val="none"/>
          <w:u w:val="none"/>
          <w:lang w:val="en-US" w:eastAsia="zh-CN"/>
        </w:rPr>
        <w:t xml:space="preserve">大写</w:t>
      </w:r>
      <w:r>
        <w:rPr>
          <w:rFonts w:hint="eastAsia" w:ascii="Times New Roman" w:hAnsi="Times New Roman" w:cs="Times New Roman"/>
          <w:color w:val="auto"/>
          <w:sz w:val="22"/>
          <w:szCs w:val="21"/>
          <w:highlight w:val="none"/>
          <w:u w:val="none"/>
          <w:lang w:val="en-US" w:eastAsia="zh-CN"/>
        </w:rPr>
        <w:t xml:space="preserve">）人民币</w:t>
      </w:r>
      <w:r>
        <w:rPr>
          <w:rFonts w:hint="default" w:ascii="Times New Roman" w:hAnsi="Times New Roman" w:eastAsia="宋体" w:cs="Times New Roman"/>
          <w:color w:val="auto"/>
          <w:sz w:val="22"/>
          <w:szCs w:val="21"/>
          <w:highlight w:val="none"/>
          <w:u w:val="none"/>
          <w:lang w:val="en-US" w:eastAsia="zh-CN"/>
        </w:rPr>
        <w:t xml:space="preserve">：</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highlight w:val="none"/>
        </w:rPr>
        <w:t xml:space="preserve">，</w:t>
      </w:r>
      <w:r>
        <w:rPr>
          <w:rFonts w:hint="eastAsia"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lang w:val="en-US" w:eastAsia="zh-CN"/>
        </w:rPr>
        <w:t xml:space="preserve">小写</w:t>
      </w:r>
      <w:r>
        <w:rPr>
          <w:rFonts w:hint="eastAsia" w:ascii="Times New Roman" w:hAnsi="Times New Roman" w:eastAsia="宋体" w:cs="Times New Roman"/>
          <w:color w:val="auto"/>
          <w:sz w:val="22"/>
          <w:highlight w:val="none"/>
          <w:lang w:eastAsia="zh-CN"/>
        </w:rPr>
        <w:t xml:space="preserve">）</w:t>
      </w:r>
      <w:r>
        <w:rPr>
          <w:rFonts w:hint="eastAsia" w:ascii="宋体" w:hAnsi="宋体" w:eastAsia="宋体" w:cs="宋体"/>
          <w:color w:val="auto"/>
          <w:sz w:val="22"/>
          <w:highlight w:val="none"/>
          <w:lang w:eastAsia="zh-CN"/>
        </w:rPr>
        <w:t xml:space="preserve">¥</w:t>
      </w:r>
      <w:r>
        <w:rPr>
          <w:rFonts w:hint="eastAsia"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u w:val="single"/>
        </w:rPr>
        <w:t xml:space="preserve">             </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none"/>
          <w:lang w:val="en-US" w:eastAsia="zh-CN"/>
        </w:rPr>
        <w:t xml:space="preserve">元，</w:t>
      </w:r>
      <w:r>
        <w:rPr>
          <w:rFonts w:hint="eastAsia" w:ascii="Times New Roman" w:hAnsi="Times New Roman" w:cs="Times New Roman"/>
          <w:color w:val="auto"/>
          <w:sz w:val="22"/>
          <w:highlight w:val="none"/>
          <w:lang w:eastAsia="zh-CN"/>
        </w:rPr>
        <w:t xml:space="preserve">服务期限</w:t>
      </w:r>
      <w:r>
        <w:rPr>
          <w:rFonts w:hint="default" w:ascii="Times New Roman" w:hAnsi="Times New Roman" w:eastAsia="宋体" w:cs="Times New Roman"/>
          <w:color w:val="auto"/>
          <w:sz w:val="22"/>
          <w:highlight w:val="none"/>
        </w:rPr>
        <w:t xml:space="preserve">为</w:t>
      </w:r>
      <w:r>
        <w:rPr>
          <w:rFonts w:hint="eastAsia" w:ascii="Times New Roman" w:hAnsi="Times New Roman" w:cs="Times New Roman"/>
          <w:color w:val="auto"/>
          <w:sz w:val="22"/>
          <w:highlight w:val="none"/>
          <w:u w:val="single"/>
          <w:lang w:val="en-US" w:eastAsia="zh-CN"/>
        </w:rPr>
        <w:t xml:space="preserve">一年，2025年12月至2026年11月</w:t>
      </w:r>
      <w:r>
        <w:rPr>
          <w:rFonts w:hint="default" w:ascii="Times New Roman" w:hAnsi="Times New Roman" w:eastAsia="宋体" w:cs="Times New Roman"/>
          <w:color w:val="auto"/>
          <w:sz w:val="22"/>
          <w:highlight w:val="none"/>
        </w:rPr>
        <w:t xml:space="preserve">。本项目拟派的项目负责人：</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，联系方式</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3.我们完全理解贵方不一定要接受最低报价的磋商或收到的任何磋商。</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5.我们同意从规定的磋商日期起遵循本磋商文件，并在规定的磋商有效期期满之前均具有约束力。</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6.同意向贵方提供贵方可能要求的与磋商有关的任何证据或资料。</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7.一旦我方成交，我方将根据磋商文件的规定，严格履行合同，并保证于承诺的时间完成项目。</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（1）提供虚假材料谋取中标、成交的；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（2）采取不正当手段诋毁、排挤其他供应商的；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（3）与采购人、其它供应商或者采购代理机构恶意串通的；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（4）向采购人、采购代理机构行贿或者提供其他不正当利益的；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（5）在采购过程中与采购人进行协商磋商的；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（6）拒绝有关部门监督检查或提供虚假情况的。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9.与本磋商有关的正式通讯地址为：</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供应商名称（盖章）：  </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地   址：</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联系电话：</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传   真：</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开户银行：</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帐    号：</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供应商授权代表姓名（签字）：  </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联系电话: </w:t>
      </w:r>
      <w:r/>
    </w:p>
    <w:p>
      <w:pPr>
        <w:ind w:firstLine="440"/>
        <w:spacing w:before="7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sz w:val="22"/>
          <w:highlight w:val="none"/>
        </w:rPr>
        <w:t xml:space="preserve">日    期：     年  月  日</w:t>
      </w:r>
      <w:r>
        <w:rPr>
          <w:rFonts w:hint="default" w:ascii="Times New Roman" w:hAnsi="Times New Roman" w:eastAsia="宋体" w:cs="Times New Roman"/>
          <w:bCs/>
          <w:color w:val="auto"/>
          <w:sz w:val="24"/>
          <w:szCs w:val="24"/>
          <w:highlight w:val="none"/>
        </w:rPr>
        <w:br w:type="page" w:clear="all"/>
      </w:r>
      <w:r/>
    </w:p>
    <w:p>
      <w:pPr>
        <w:pStyle w:val="803"/>
        <w:spacing w:before="42"/>
        <w:rPr>
          <w:rFonts w:hint="default" w:ascii="Times New Roman" w:hAnsi="Times New Roman" w:eastAsia="宋体" w:cs="Times New Roman"/>
          <w:color w:val="auto"/>
          <w:highlight w:val="none"/>
        </w:rPr>
        <w:outlineLvl w:val="0"/>
      </w:pPr>
      <w:r/>
      <w:bookmarkStart w:id="225" w:name="_Toc16931"/>
      <w:r/>
      <w:bookmarkStart w:id="226" w:name="_Toc30497"/>
      <w:r/>
      <w:bookmarkStart w:id="227" w:name="_Toc14364_WPSOffice_Level1"/>
      <w:r>
        <w:rPr>
          <w:rFonts w:hint="default" w:ascii="Times New Roman" w:hAnsi="Times New Roman" w:eastAsia="宋体" w:cs="Times New Roman"/>
          <w:color w:val="auto"/>
          <w:highlight w:val="none"/>
        </w:rPr>
        <w:t xml:space="preserve">二、法定代表人授权委托书</w:t>
      </w:r>
      <w:bookmarkEnd w:id="225"/>
      <w:r/>
      <w:bookmarkEnd w:id="226"/>
      <w:r/>
      <w:bookmarkEnd w:id="227"/>
      <w:r/>
      <w:r/>
    </w:p>
    <w:p>
      <w:pPr>
        <w:pStyle w:val="817"/>
        <w:spacing w:before="7"/>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法定代表人授权委托书</w:t>
      </w:r>
      <w:r/>
    </w:p>
    <w:p>
      <w:pPr>
        <w:spacing w:line="500" w:lineRule="exact"/>
        <w:rPr>
          <w:rFonts w:hint="default" w:ascii="Times New Roman" w:hAnsi="Times New Roman" w:eastAsia="宋体" w:cs="Times New Roman"/>
          <w:color w:val="auto"/>
          <w:szCs w:val="21"/>
          <w:highlight w:val="none"/>
        </w:rPr>
      </w:pPr>
      <w:r/>
      <w:bookmarkStart w:id="228" w:name="三、资格证明"/>
      <w:r/>
      <w:bookmarkEnd w:id="228"/>
      <w:r/>
      <w:bookmarkStart w:id="229" w:name="_bookmark16"/>
      <w:r/>
      <w:bookmarkEnd w:id="229"/>
      <w:r>
        <w:rPr>
          <w:rFonts w:hint="default" w:ascii="Times New Roman" w:hAnsi="Times New Roman" w:eastAsia="宋体" w:cs="Times New Roman"/>
          <w:color w:val="auto"/>
          <w:szCs w:val="21"/>
          <w:highlight w:val="none"/>
          <w:lang w:eastAsia="zh-CN"/>
        </w:rPr>
        <w:t xml:space="preserve">南京市江宁区农业农村局</w:t>
      </w:r>
      <w:r>
        <w:rPr>
          <w:rFonts w:hint="default" w:ascii="Times New Roman" w:hAnsi="Times New Roman" w:eastAsia="宋体" w:cs="Times New Roman"/>
          <w:color w:val="auto"/>
          <w:szCs w:val="21"/>
          <w:highlight w:val="none"/>
        </w:rPr>
        <w:t xml:space="preserve">：</w:t>
      </w:r>
      <w:r/>
    </w:p>
    <w:p>
      <w:pPr>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本授权书声明：注册于</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（供应商注册地址）的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（供应商名称）法定代表人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（法定代表人姓名、职务）代表本公司授权在下面签字的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（授权代表姓名、职务）为本公司的合法代理人，就贵方组织的项目编号：___________</w:t>
      </w:r>
      <w:r>
        <w:rPr>
          <w:rFonts w:hint="default" w:ascii="Times New Roman" w:hAnsi="Times New Roman" w:eastAsia="宋体" w:cs="Times New Roman"/>
          <w:color w:val="auto"/>
          <w:szCs w:val="21"/>
          <w:highlight w:val="none"/>
          <w:u w:val="single"/>
        </w:rPr>
        <w:t xml:space="preserve">号</w:t>
      </w:r>
      <w:r>
        <w:rPr>
          <w:rFonts w:hint="default" w:ascii="Times New Roman" w:hAnsi="Times New Roman" w:eastAsia="宋体" w:cs="Times New Roman"/>
          <w:color w:val="auto"/>
          <w:szCs w:val="21"/>
          <w:highlight w:val="none"/>
        </w:rPr>
        <w:t xml:space="preserve">，项目名称</w:t>
      </w:r>
      <w:r>
        <w:rPr>
          <w:rFonts w:hint="default" w:ascii="Times New Roman" w:hAnsi="Times New Roman" w:eastAsia="宋体" w:cs="Times New Roman"/>
          <w:b/>
          <w:color w:val="auto"/>
          <w:szCs w:val="21"/>
          <w:highlight w:val="none"/>
          <w:u w:val="single"/>
        </w:rPr>
        <w:t xml:space="preserve">                         </w:t>
      </w:r>
      <w:r>
        <w:rPr>
          <w:rFonts w:hint="default" w:ascii="Times New Roman" w:hAnsi="Times New Roman" w:eastAsia="宋体" w:cs="Times New Roman"/>
          <w:color w:val="auto"/>
          <w:szCs w:val="21"/>
          <w:highlight w:val="none"/>
        </w:rPr>
        <w:t xml:space="preserve">，以本公司名义处理一切与之有关的事务。</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本授权书于</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日签字生效，特此声明。</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供应商名称（盖章）：            </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法定代表人签字：               </w:t>
      </w:r>
      <w:r/>
    </w:p>
    <w:p>
      <w:pPr>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被授权人签字：                 </w:t>
      </w:r>
      <w:r/>
    </w:p>
    <w:p>
      <w:pPr>
        <w:ind w:firstLine="440"/>
        <w:spacing w:line="500" w:lineRule="exact"/>
        <w:tabs>
          <w:tab w:val="left" w:pos="144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日    期：       年    月    日</w:t>
      </w:r>
      <w:r/>
    </w:p>
    <w:p>
      <w:pPr>
        <w:spacing w:before="15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5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30" w:name="_Toc20023"/>
      <w:r/>
      <w:bookmarkStart w:id="231" w:name="_Toc28711_WPSOffice_Level1"/>
      <w:r/>
      <w:bookmarkStart w:id="232" w:name="_Toc18829"/>
      <w:r>
        <w:rPr>
          <w:rFonts w:hint="default" w:ascii="Times New Roman" w:hAnsi="Times New Roman" w:eastAsia="宋体" w:cs="Times New Roman"/>
          <w:color w:val="auto"/>
          <w:highlight w:val="none"/>
        </w:rPr>
        <w:t xml:space="preserve">三、资格证明</w:t>
      </w:r>
      <w:bookmarkEnd w:id="230"/>
      <w:r/>
      <w:bookmarkEnd w:id="231"/>
      <w:r/>
      <w:bookmarkEnd w:id="232"/>
      <w:r/>
      <w:r/>
    </w:p>
    <w:p>
      <w:pPr>
        <w:pStyle w:val="817"/>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资格证明</w:t>
      </w:r>
      <w:r/>
    </w:p>
    <w:p>
      <w:pPr>
        <w:pStyle w:val="817"/>
        <w:spacing w:before="6"/>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pStyle w:val="817"/>
        <w:ind w:left="22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（格式由供应商自定，据实提交，含公司各类资质及获奖情况）</w:t>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spacing w:before="2"/>
        <w:rPr>
          <w:rFonts w:hint="default"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rPr>
          <w:rFonts w:hint="default" w:ascii="Times New Roman" w:hAnsi="Times New Roman" w:eastAsia="宋体" w:cs="Times New Roman"/>
          <w:color w:val="auto"/>
          <w:sz w:val="20"/>
          <w:highlight w:val="none"/>
        </w:rPr>
        <w:sectPr>
          <w:footnotePr/>
          <w:endnotePr/>
          <w:type w:val="continuous"/>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0"/>
          <w:highlight w:val="none"/>
        </w:rPr>
      </w:r>
      <w:r/>
    </w:p>
    <w:p>
      <w:pPr>
        <w:pStyle w:val="817"/>
        <w:spacing w:before="5"/>
        <w:rPr>
          <w:rFonts w:hint="default" w:ascii="Times New Roman" w:hAnsi="Times New Roman" w:eastAsia="宋体" w:cs="Times New Roman"/>
          <w:color w:val="auto"/>
          <w:sz w:val="16"/>
          <w:highlight w:val="none"/>
        </w:rPr>
      </w:pPr>
      <w:r>
        <w:rPr>
          <w:rFonts w:hint="default" w:ascii="Times New Roman" w:hAnsi="Times New Roman" w:eastAsia="宋体" w:cs="Times New Roman"/>
          <w:color w:val="auto"/>
          <w:sz w:val="16"/>
          <w:highlight w:val="none"/>
        </w:rPr>
      </w:r>
      <w:r/>
    </w:p>
    <w:p>
      <w:pPr>
        <w:spacing w:before="1"/>
        <w:rPr>
          <w:rFonts w:hint="default" w:ascii="Times New Roman" w:hAnsi="Times New Roman" w:eastAsia="宋体" w:cs="Times New Roman"/>
          <w:color w:val="auto"/>
          <w:highlight w:val="none"/>
        </w:rPr>
      </w:pPr>
      <w:r/>
      <w:bookmarkStart w:id="233" w:name="四、磋商报价汇总表"/>
      <w:r/>
      <w:bookmarkEnd w:id="233"/>
      <w:r/>
      <w:bookmarkStart w:id="234" w:name="_bookmark17"/>
      <w:r/>
      <w:bookmarkEnd w:id="234"/>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35" w:name="_Toc28656"/>
      <w:r/>
      <w:bookmarkStart w:id="236" w:name="_Toc13509"/>
      <w:r/>
      <w:bookmarkStart w:id="237" w:name="_Toc13798_WPSOffice_Level1"/>
      <w:r>
        <w:rPr>
          <w:rFonts w:hint="default" w:ascii="Times New Roman" w:hAnsi="Times New Roman" w:eastAsia="宋体" w:cs="Times New Roman"/>
          <w:color w:val="auto"/>
          <w:highlight w:val="none"/>
        </w:rPr>
        <w:t xml:space="preserve">四、磋商报价汇总表</w:t>
      </w:r>
      <w:bookmarkEnd w:id="235"/>
      <w:r/>
      <w:bookmarkEnd w:id="236"/>
      <w:r/>
      <w:bookmarkEnd w:id="237"/>
      <w:r/>
      <w:r/>
    </w:p>
    <w:p>
      <w:pPr>
        <w:pStyle w:val="817"/>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jc w:val="center"/>
        <w:spacing w:line="360" w:lineRule="auto"/>
        <w:rPr>
          <w:rFonts w:hint="default" w:ascii="Times New Roman" w:hAnsi="Times New Roman" w:eastAsia="宋体" w:cs="Times New Roman"/>
          <w:b/>
          <w:bCs/>
          <w:color w:val="auto"/>
          <w:sz w:val="32"/>
          <w:szCs w:val="32"/>
          <w:highlight w:val="none"/>
        </w:rPr>
        <w:outlineLvl w:val="0"/>
      </w:pPr>
      <w:r/>
      <w:bookmarkStart w:id="238" w:name="_Toc28777_WPSOffice_Level1"/>
      <w:r/>
      <w:bookmarkStart w:id="239" w:name="_Toc16952_WPSOffice_Level1"/>
      <w:r/>
      <w:bookmarkStart w:id="240" w:name="_Toc9343"/>
      <w:r>
        <w:rPr>
          <w:rFonts w:hint="default" w:ascii="Times New Roman" w:hAnsi="Times New Roman" w:eastAsia="宋体" w:cs="Times New Roman"/>
          <w:b/>
          <w:bCs/>
          <w:color w:val="auto"/>
          <w:sz w:val="32"/>
          <w:szCs w:val="32"/>
          <w:highlight w:val="none"/>
        </w:rPr>
        <w:t xml:space="preserve">磋商报价汇总表</w:t>
      </w:r>
      <w:bookmarkEnd w:id="238"/>
      <w:r/>
      <w:bookmarkEnd w:id="239"/>
      <w:r/>
      <w:bookmarkEnd w:id="240"/>
      <w:r/>
      <w:r/>
    </w:p>
    <w:tbl>
      <w:tblPr>
        <w:tblStyle w:val="812"/>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4294"/>
        <w:gridCol w:w="4190"/>
      </w:tblGrid>
      <w:tr>
        <w:trPr>
          <w:trHeight w:val="454"/>
        </w:trPr>
        <w:tc>
          <w:tcPr>
            <w:gridSpan w:val="2"/>
            <w:tcW w:w="2716" w:type="pct"/>
            <w:vAlign w:val="center"/>
            <w:textDirection w:val="lrTb"/>
            <w:noWrap w:val="false"/>
          </w:tcPr>
          <w:p>
            <w:pPr>
              <w:spacing w:line="360" w:lineRule="auto"/>
              <w:rPr>
                <w:rStyle w:val="1031"/>
                <w:rFonts w:hint="default" w:ascii="Times New Roman" w:hAnsi="Times New Roman" w:eastAsia="宋体" w:cs="Times New Roman"/>
                <w:color w:val="auto"/>
                <w:sz w:val="24"/>
                <w:highlight w:val="none"/>
                <w:lang w:eastAsia="zh-CN"/>
              </w:rPr>
            </w:pPr>
            <w:r>
              <w:rPr>
                <w:rStyle w:val="1031"/>
                <w:rFonts w:hint="default" w:ascii="Times New Roman" w:hAnsi="Times New Roman" w:eastAsia="宋体" w:cs="Times New Roman"/>
                <w:color w:val="auto"/>
                <w:sz w:val="24"/>
                <w:highlight w:val="none"/>
              </w:rPr>
              <w:t xml:space="preserve">项目名称：</w:t>
            </w:r>
            <w:r>
              <w:rPr>
                <w:rFonts w:hint="default" w:ascii="Times New Roman" w:hAnsi="Times New Roman" w:eastAsia="宋体" w:cs="Times New Roman"/>
                <w:iCs/>
                <w:color w:val="auto"/>
                <w:sz w:val="21"/>
                <w:szCs w:val="21"/>
                <w:highlight w:val="none"/>
                <w:lang w:val="en-US" w:bidi="ar-SA"/>
              </w:rPr>
              <w:t xml:space="preserve">江宁区松树钻蛀类害虫系统调查项目</w:t>
            </w:r>
            <w:r/>
          </w:p>
        </w:tc>
        <w:tc>
          <w:tcPr>
            <w:tcW w:w="2283" w:type="pct"/>
            <w:vAlign w:val="center"/>
            <w:textDirection w:val="lrTb"/>
            <w:noWrap w:val="false"/>
          </w:tcPr>
          <w:p>
            <w:pPr>
              <w:spacing w:line="360" w:lineRule="auto"/>
              <w:rPr>
                <w:rStyle w:val="1031"/>
                <w:rFonts w:hint="default" w:ascii="Times New Roman" w:hAnsi="Times New Roman" w:eastAsia="宋体" w:cs="Times New Roman"/>
                <w:color w:val="auto"/>
                <w:sz w:val="24"/>
                <w:highlight w:val="none"/>
                <w:lang w:eastAsia="zh-CN"/>
              </w:rPr>
            </w:pPr>
            <w:r>
              <w:rPr>
                <w:rStyle w:val="1031"/>
                <w:rFonts w:hint="default" w:ascii="Times New Roman" w:hAnsi="Times New Roman" w:eastAsia="宋体" w:cs="Times New Roman"/>
                <w:color w:val="auto"/>
                <w:sz w:val="24"/>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JSZC-320115-YFZX-C2025-0003</w:t>
            </w:r>
            <w:r/>
          </w:p>
        </w:tc>
      </w:tr>
      <w:tr>
        <w:trPr>
          <w:trHeight w:val="454"/>
        </w:trPr>
        <w:tc>
          <w:tcPr>
            <w:tcW w:w="376" w:type="pct"/>
            <w:vAlign w:val="center"/>
            <w:textDirection w:val="lrTb"/>
            <w:noWrap w:val="false"/>
          </w:tcPr>
          <w:p>
            <w:pPr>
              <w:jc w:val="center"/>
              <w:spacing w:line="360" w:lineRule="auto"/>
              <w:rPr>
                <w:rStyle w:val="1031"/>
                <w:rFonts w:hint="default" w:ascii="Times New Roman" w:hAnsi="Times New Roman" w:eastAsia="宋体" w:cs="Times New Roman"/>
                <w:color w:val="auto"/>
                <w:sz w:val="24"/>
                <w:highlight w:val="none"/>
              </w:rPr>
            </w:pPr>
            <w:r>
              <w:rPr>
                <w:rStyle w:val="1031"/>
                <w:rFonts w:hint="default" w:ascii="Times New Roman" w:hAnsi="Times New Roman" w:eastAsia="宋体" w:cs="Times New Roman"/>
                <w:color w:val="auto"/>
                <w:sz w:val="24"/>
                <w:highlight w:val="none"/>
              </w:rPr>
              <w:t xml:space="preserve">序号</w:t>
            </w:r>
            <w:r/>
          </w:p>
        </w:tc>
        <w:tc>
          <w:tcPr>
            <w:tcW w:w="2339" w:type="pct"/>
            <w:vAlign w:val="center"/>
            <w:textDirection w:val="lrTb"/>
            <w:noWrap w:val="false"/>
          </w:tcPr>
          <w:p>
            <w:pPr>
              <w:jc w:val="center"/>
              <w:spacing w:line="360" w:lineRule="auto"/>
              <w:rPr>
                <w:rStyle w:val="1031"/>
                <w:rFonts w:hint="default" w:ascii="Times New Roman" w:hAnsi="Times New Roman" w:eastAsia="宋体" w:cs="Times New Roman"/>
                <w:color w:val="auto"/>
                <w:sz w:val="24"/>
                <w:highlight w:val="none"/>
              </w:rPr>
            </w:pPr>
            <w:r>
              <w:rPr>
                <w:rStyle w:val="1031"/>
                <w:rFonts w:hint="default" w:ascii="Times New Roman" w:hAnsi="Times New Roman" w:eastAsia="宋体" w:cs="Times New Roman"/>
                <w:color w:val="auto"/>
                <w:sz w:val="24"/>
                <w:highlight w:val="none"/>
              </w:rPr>
              <w:t xml:space="preserve">名称</w:t>
            </w:r>
            <w:r/>
          </w:p>
        </w:tc>
        <w:tc>
          <w:tcPr>
            <w:tcW w:w="2283" w:type="pct"/>
            <w:vAlign w:val="center"/>
            <w:textDirection w:val="lrTb"/>
            <w:noWrap w:val="false"/>
          </w:tcPr>
          <w:p>
            <w:pPr>
              <w:jc w:val="center"/>
              <w:spacing w:line="360" w:lineRule="auto"/>
              <w:rPr>
                <w:rStyle w:val="1031"/>
                <w:rFonts w:hint="default" w:ascii="Times New Roman" w:hAnsi="Times New Roman" w:eastAsia="宋体" w:cs="Times New Roman"/>
                <w:color w:val="auto"/>
                <w:sz w:val="24"/>
                <w:highlight w:val="none"/>
              </w:rPr>
            </w:pPr>
            <w:r>
              <w:rPr>
                <w:rStyle w:val="1031"/>
                <w:rFonts w:hint="default" w:ascii="Times New Roman" w:hAnsi="Times New Roman" w:eastAsia="宋体" w:cs="Times New Roman"/>
                <w:color w:val="auto"/>
                <w:sz w:val="24"/>
                <w:highlight w:val="none"/>
              </w:rPr>
              <w:t xml:space="preserve">报价</w:t>
            </w:r>
            <w:r/>
          </w:p>
        </w:tc>
      </w:tr>
      <w:tr>
        <w:trPr>
          <w:trHeight w:val="953"/>
        </w:trPr>
        <w:tc>
          <w:tcPr>
            <w:tcW w:w="376" w:type="pct"/>
            <w:vAlign w:val="center"/>
            <w:textDirection w:val="lrTb"/>
            <w:noWrap w:val="false"/>
          </w:tcPr>
          <w:p>
            <w:pPr>
              <w:jc w:val="center"/>
              <w:spacing w:line="360" w:lineRule="auto"/>
              <w:rPr>
                <w:rStyle w:val="1031"/>
                <w:rFonts w:hint="default" w:ascii="Times New Roman" w:hAnsi="Times New Roman" w:eastAsia="宋体" w:cs="Times New Roman"/>
                <w:color w:val="auto"/>
                <w:spacing w:val="-2"/>
                <w:sz w:val="24"/>
                <w:highlight w:val="none"/>
              </w:rPr>
            </w:pPr>
            <w:r>
              <w:rPr>
                <w:rStyle w:val="1031"/>
                <w:rFonts w:hint="default" w:ascii="Times New Roman" w:hAnsi="Times New Roman" w:eastAsia="宋体" w:cs="Times New Roman"/>
                <w:color w:val="auto"/>
                <w:spacing w:val="-2"/>
                <w:sz w:val="24"/>
                <w:highlight w:val="none"/>
              </w:rPr>
              <w:t xml:space="preserve">1</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 xml:space="preserve">江宁区松树钻蛀类害虫系统调查项目</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 w:val="22"/>
                <w:szCs w:val="21"/>
                <w:highlight w:val="none"/>
                <w:u w:val="none"/>
                <w:lang w:val="en-US" w:eastAsia="zh-CN"/>
              </w:rPr>
              <w:t xml:space="preserve">（</w:t>
            </w:r>
            <w:r>
              <w:rPr>
                <w:rFonts w:hint="default" w:ascii="Times New Roman" w:hAnsi="Times New Roman" w:eastAsia="宋体" w:cs="Times New Roman"/>
                <w:color w:val="auto"/>
                <w:sz w:val="22"/>
                <w:szCs w:val="21"/>
                <w:highlight w:val="none"/>
                <w:u w:val="none"/>
                <w:lang w:val="en-US" w:eastAsia="zh-CN"/>
              </w:rPr>
              <w:t xml:space="preserve">大写</w:t>
            </w:r>
            <w:r>
              <w:rPr>
                <w:rFonts w:hint="eastAsia" w:ascii="Times New Roman" w:hAnsi="Times New Roman" w:cs="Times New Roman"/>
                <w:color w:val="auto"/>
                <w:sz w:val="22"/>
                <w:szCs w:val="21"/>
                <w:highlight w:val="none"/>
                <w:u w:val="none"/>
                <w:lang w:val="en-US" w:eastAsia="zh-CN"/>
              </w:rPr>
              <w:t xml:space="preserve">）人民币</w:t>
            </w:r>
            <w:r>
              <w:rPr>
                <w:rFonts w:hint="default" w:ascii="Times New Roman" w:hAnsi="Times New Roman" w:eastAsia="宋体" w:cs="Times New Roman"/>
                <w:color w:val="auto"/>
                <w:sz w:val="22"/>
                <w:szCs w:val="21"/>
                <w:highlight w:val="none"/>
                <w:u w:val="none"/>
                <w:lang w:val="en-US" w:eastAsia="zh-CN"/>
              </w:rPr>
              <w:t xml:space="preserve">：</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Cs w:val="21"/>
                <w:highlight w:val="none"/>
                <w:lang w:val="en-US" w:eastAsia="zh-CN"/>
              </w:rPr>
              <w:t xml:space="preserve">         </w:t>
            </w:r>
            <w:r/>
          </w:p>
          <w:p>
            <w:pPr>
              <w:shd w:val="clear" w:color="auto" w:fill="ffffff"/>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lang w:val="en-US" w:eastAsia="zh-CN"/>
              </w:rPr>
              <w:t xml:space="preserve">小写</w:t>
            </w:r>
            <w:r>
              <w:rPr>
                <w:rFonts w:hint="eastAsia" w:ascii="Times New Roman" w:hAnsi="Times New Roman" w:eastAsia="宋体" w:cs="Times New Roman"/>
                <w:color w:val="auto"/>
                <w:sz w:val="22"/>
                <w:highlight w:val="none"/>
                <w:lang w:eastAsia="zh-CN"/>
              </w:rPr>
              <w:t xml:space="preserve">）</w:t>
            </w:r>
            <w:r>
              <w:rPr>
                <w:rFonts w:hint="eastAsia" w:ascii="宋体" w:hAnsi="宋体" w:eastAsia="宋体" w:cs="宋体"/>
                <w:color w:val="auto"/>
                <w:sz w:val="22"/>
                <w:highlight w:val="none"/>
                <w:lang w:eastAsia="zh-CN"/>
              </w:rPr>
              <w:t xml:space="preserve">¥</w:t>
            </w:r>
            <w:r>
              <w:rPr>
                <w:rFonts w:hint="eastAsia" w:ascii="Times New Roman" w:hAnsi="Times New Roman" w:eastAsia="宋体" w:cs="Times New Roman"/>
                <w:color w:val="auto"/>
                <w:sz w:val="22"/>
                <w:highlight w:val="none"/>
                <w:lang w:eastAsia="zh-CN"/>
              </w:rPr>
              <w:t xml:space="preserve">：</w:t>
            </w:r>
            <w:r>
              <w:rPr>
                <w:rFonts w:hint="default" w:ascii="Times New Roman" w:hAnsi="Times New Roman" w:eastAsia="宋体" w:cs="Times New Roman"/>
                <w:color w:val="auto"/>
                <w:sz w:val="22"/>
                <w:szCs w:val="21"/>
                <w:highlight w:val="none"/>
                <w:u w:val="single"/>
              </w:rPr>
              <w:t xml:space="preserve">         </w:t>
            </w:r>
            <w:r>
              <w:rPr>
                <w:rFonts w:hint="eastAsia"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single"/>
              </w:rPr>
              <w:t xml:space="preserve">    </w:t>
            </w:r>
            <w:r>
              <w:rPr>
                <w:rFonts w:hint="default" w:ascii="Times New Roman" w:hAnsi="Times New Roman" w:eastAsia="宋体" w:cs="Times New Roman"/>
                <w:color w:val="auto"/>
                <w:sz w:val="22"/>
                <w:szCs w:val="21"/>
                <w:highlight w:val="none"/>
                <w:u w:val="single"/>
                <w:lang w:val="en-US" w:eastAsia="zh-CN"/>
              </w:rPr>
              <w:t xml:space="preserve">  </w:t>
            </w:r>
            <w:r>
              <w:rPr>
                <w:rFonts w:hint="default" w:ascii="Times New Roman" w:hAnsi="Times New Roman" w:eastAsia="宋体" w:cs="Times New Roman"/>
                <w:color w:val="auto"/>
                <w:sz w:val="22"/>
                <w:szCs w:val="21"/>
                <w:highlight w:val="none"/>
                <w:u w:val="none"/>
                <w:lang w:val="en-US" w:eastAsia="zh-CN"/>
              </w:rPr>
              <w:t xml:space="preserve">元</w:t>
            </w:r>
            <w:r>
              <w:rPr>
                <w:rFonts w:hint="eastAsia" w:ascii="Times New Roman" w:hAnsi="Times New Roman" w:eastAsia="宋体" w:cs="Times New Roman"/>
                <w:color w:val="auto"/>
                <w:sz w:val="22"/>
                <w:szCs w:val="21"/>
                <w:highlight w:val="none"/>
                <w:u w:val="none"/>
                <w:lang w:val="en-US" w:eastAsia="zh-CN"/>
              </w:rPr>
              <w:t xml:space="preserve"> </w:t>
            </w:r>
            <w:r>
              <w:rPr>
                <w:rFonts w:hint="default" w:ascii="Times New Roman" w:hAnsi="Times New Roman" w:eastAsia="宋体" w:cs="Times New Roman"/>
                <w:color w:val="auto"/>
                <w:szCs w:val="21"/>
                <w:highlight w:val="none"/>
                <w:lang w:val="en-US" w:eastAsia="zh-CN"/>
              </w:rPr>
              <w:t xml:space="preserve">          </w:t>
            </w:r>
            <w:r/>
          </w:p>
        </w:tc>
      </w:tr>
      <w:tr>
        <w:trPr>
          <w:trHeight w:val="454"/>
        </w:trPr>
        <w:tc>
          <w:tcPr>
            <w:tcW w:w="376" w:type="pct"/>
            <w:vAlign w:val="center"/>
            <w:textDirection w:val="lrTb"/>
            <w:noWrap w:val="false"/>
          </w:tcPr>
          <w:p>
            <w:pPr>
              <w:jc w:val="center"/>
              <w:spacing w:line="360" w:lineRule="auto"/>
              <w:rPr>
                <w:rStyle w:val="1031"/>
                <w:rFonts w:hint="default" w:ascii="Times New Roman" w:hAnsi="Times New Roman" w:eastAsia="宋体" w:cs="Times New Roman"/>
                <w:color w:val="auto"/>
                <w:spacing w:val="-2"/>
                <w:sz w:val="24"/>
                <w:highlight w:val="none"/>
                <w:lang w:val="en-US" w:eastAsia="zh-CN"/>
              </w:rPr>
            </w:pPr>
            <w:r>
              <w:rPr>
                <w:rStyle w:val="1031"/>
                <w:rFonts w:hint="default" w:ascii="Times New Roman" w:hAnsi="Times New Roman" w:eastAsia="宋体" w:cs="Times New Roman"/>
                <w:color w:val="auto"/>
                <w:spacing w:val="-2"/>
                <w:sz w:val="24"/>
                <w:highlight w:val="none"/>
                <w:lang w:val="en-US" w:eastAsia="zh-CN"/>
              </w:rPr>
              <w:t xml:space="preserve">2</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项目负责人</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r>
      <w:tr>
        <w:trPr>
          <w:trHeight w:val="454"/>
        </w:trPr>
        <w:tc>
          <w:tcPr>
            <w:tcW w:w="376" w:type="pct"/>
            <w:vAlign w:val="center"/>
            <w:textDirection w:val="lrTb"/>
            <w:noWrap w:val="false"/>
          </w:tcPr>
          <w:p>
            <w:pPr>
              <w:jc w:val="center"/>
              <w:spacing w:line="360" w:lineRule="auto"/>
              <w:rPr>
                <w:rStyle w:val="1031"/>
                <w:rFonts w:hint="default" w:ascii="Times New Roman" w:hAnsi="Times New Roman" w:eastAsia="宋体" w:cs="Times New Roman"/>
                <w:color w:val="auto"/>
                <w:spacing w:val="-2"/>
                <w:sz w:val="24"/>
                <w:highlight w:val="none"/>
                <w:lang w:val="en-US" w:eastAsia="zh-CN"/>
              </w:rPr>
            </w:pPr>
            <w:r>
              <w:rPr>
                <w:rStyle w:val="1031"/>
                <w:rFonts w:hint="default" w:ascii="Times New Roman" w:hAnsi="Times New Roman" w:eastAsia="宋体" w:cs="Times New Roman"/>
                <w:color w:val="auto"/>
                <w:spacing w:val="-2"/>
                <w:sz w:val="24"/>
                <w:highlight w:val="none"/>
                <w:lang w:val="en-US" w:eastAsia="zh-CN"/>
              </w:rPr>
              <w:t xml:space="preserve">3</w:t>
            </w:r>
            <w:r/>
          </w:p>
        </w:tc>
        <w:tc>
          <w:tcPr>
            <w:tcW w:w="2339" w:type="pct"/>
            <w:vAlign w:val="center"/>
            <w:textDirection w:val="lrTb"/>
            <w:noWrap w:val="false"/>
          </w:tcPr>
          <w:p>
            <w:pPr>
              <w:shd w:val="clear" w:color="auto" w:fill="ffffff"/>
              <w:widowControl/>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 xml:space="preserve">服务期限</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一年，2025年12月至2026年11月</w:t>
            </w:r>
            <w:r/>
          </w:p>
        </w:tc>
      </w:tr>
      <w:tr>
        <w:trPr>
          <w:trHeight w:val="454"/>
        </w:trPr>
        <w:tc>
          <w:tcPr>
            <w:tcW w:w="376" w:type="pct"/>
            <w:vAlign w:val="center"/>
            <w:textDirection w:val="lrTb"/>
            <w:noWrap w:val="false"/>
          </w:tcPr>
          <w:p>
            <w:pPr>
              <w:jc w:val="center"/>
              <w:spacing w:line="360" w:lineRule="auto"/>
              <w:rPr>
                <w:rStyle w:val="1031"/>
                <w:rFonts w:hint="default" w:ascii="Times New Roman" w:hAnsi="Times New Roman" w:eastAsia="宋体" w:cs="Times New Roman"/>
                <w:color w:val="auto"/>
                <w:spacing w:val="-2"/>
                <w:sz w:val="24"/>
                <w:highlight w:val="none"/>
                <w:lang w:val="en-US" w:eastAsia="zh-CN"/>
              </w:rPr>
            </w:pPr>
            <w:r>
              <w:rPr>
                <w:rStyle w:val="1031"/>
                <w:rFonts w:hint="default" w:ascii="Times New Roman" w:hAnsi="Times New Roman" w:eastAsia="宋体" w:cs="Times New Roman"/>
                <w:color w:val="auto"/>
                <w:spacing w:val="-2"/>
                <w:sz w:val="24"/>
                <w:highlight w:val="none"/>
                <w:lang w:val="en-US" w:eastAsia="zh-CN"/>
              </w:rPr>
              <w:t xml:space="preserve">4</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优惠条款</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（如有优惠条件须在此注明）</w:t>
            </w:r>
            <w:r/>
          </w:p>
        </w:tc>
      </w:tr>
      <w:tr>
        <w:trPr>
          <w:trHeight w:val="454"/>
        </w:trPr>
        <w:tc>
          <w:tcPr>
            <w:tcW w:w="376" w:type="pct"/>
            <w:vAlign w:val="center"/>
            <w:textDirection w:val="lrTb"/>
            <w:noWrap w:val="false"/>
          </w:tcPr>
          <w:p>
            <w:pPr>
              <w:jc w:val="center"/>
              <w:spacing w:line="360" w:lineRule="auto"/>
              <w:rPr>
                <w:rStyle w:val="1031"/>
                <w:rFonts w:hint="default" w:ascii="Times New Roman" w:hAnsi="Times New Roman" w:eastAsia="宋体" w:cs="Times New Roman"/>
                <w:color w:val="auto"/>
                <w:spacing w:val="-2"/>
                <w:sz w:val="24"/>
                <w:highlight w:val="none"/>
                <w:lang w:val="en-US" w:eastAsia="zh-CN"/>
              </w:rPr>
            </w:pPr>
            <w:r>
              <w:rPr>
                <w:rStyle w:val="1031"/>
                <w:rFonts w:hint="default" w:ascii="Times New Roman" w:hAnsi="Times New Roman" w:eastAsia="宋体" w:cs="Times New Roman"/>
                <w:color w:val="auto"/>
                <w:spacing w:val="-2"/>
                <w:sz w:val="24"/>
                <w:highlight w:val="none"/>
                <w:lang w:val="en-US" w:eastAsia="zh-CN"/>
              </w:rPr>
              <w:t xml:space="preserve">5</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供应商是否属于中小微型企业</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填写“是”或“否</w:t>
            </w:r>
            <w:r/>
          </w:p>
        </w:tc>
      </w:tr>
    </w:tbl>
    <w:p>
      <w:pPr>
        <w:pStyle w:val="1005"/>
        <w:ind w:firstLine="40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1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说明:</w:t>
      </w:r>
      <w:r/>
    </w:p>
    <w:p>
      <w:pPr>
        <w:pStyle w:val="81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1、采购人对每一项货物和服务仅接受一个价格，不得填报有选择性报价方案。若有优惠条款须注明，但不得影响报价，影响产品整体功能。</w:t>
      </w:r>
      <w:r/>
    </w:p>
    <w:p>
      <w:pPr>
        <w:pStyle w:val="81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p>
    <w:p>
      <w:pPr>
        <w:pStyle w:val="817"/>
        <w:ind w:left="223" w:right="252" w:firstLine="420"/>
        <w:jc w:val="both"/>
        <w:spacing w:line="278" w:lineRule="auto"/>
        <w:rPr>
          <w:rFonts w:hint="default" w:ascii="Times New Roman" w:hAnsi="Times New Roman" w:eastAsia="宋体" w:cs="Times New Roman"/>
          <w:b/>
          <w:bCs/>
          <w:color w:val="auto"/>
          <w:spacing w:val="-8"/>
          <w:highlight w:val="none"/>
        </w:rPr>
      </w:pPr>
      <w:r>
        <w:rPr>
          <w:rFonts w:hint="eastAsia" w:ascii="Times New Roman" w:hAnsi="Times New Roman" w:eastAsia="宋体" w:cs="Times New Roman"/>
          <w:b/>
          <w:bCs/>
          <w:color w:val="auto"/>
          <w:spacing w:val="-8"/>
          <w:highlight w:val="none"/>
        </w:rPr>
        <w:t xml:space="preserve">3、该表报价非本次磋商中的最后报价。</w:t>
      </w:r>
      <w:r/>
    </w:p>
    <w:p>
      <w:pPr>
        <w:jc w:val="both"/>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41" w:name="_Toc19870"/>
      <w:r/>
      <w:bookmarkStart w:id="242" w:name="_Toc20225_WPSOffice_Level1"/>
      <w:r/>
      <w:bookmarkStart w:id="243" w:name="_Toc20972"/>
      <w:r>
        <w:rPr>
          <w:rFonts w:hint="default"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、磋商分项报价表</w:t>
      </w:r>
      <w:bookmarkEnd w:id="241"/>
      <w:r/>
      <w:bookmarkEnd w:id="242"/>
      <w:r/>
      <w:bookmarkEnd w:id="243"/>
      <w:r/>
      <w:r/>
    </w:p>
    <w:p>
      <w:pPr>
        <w:pStyle w:val="803"/>
        <w:spacing w:before="42"/>
        <w:rPr>
          <w:rFonts w:hint="default" w:ascii="Times New Roman" w:hAnsi="Times New Roman" w:eastAsia="宋体" w:cs="Times New Roman"/>
          <w:color w:val="auto"/>
          <w:highlight w:val="none"/>
        </w:rPr>
        <w:sectPr>
          <w:footnotePr/>
          <w:endnotePr/>
          <w:type w:val="continuous"/>
          <w:pgSz w:w="11900" w:h="16840" w:orient="portrait"/>
          <w:pgMar w:top="1429" w:right="1417" w:bottom="1066" w:left="1417" w:header="765" w:footer="720" w:gutter="0"/>
          <w:cols w:num="1" w:sep="0" w:space="425" w:equalWidth="1"/>
          <w:docGrid w:linePitch="360"/>
        </w:sectPr>
        <w:outlineLvl w:val="1"/>
      </w:pPr>
      <w:r>
        <w:rPr>
          <w:rFonts w:hint="default" w:ascii="Times New Roman" w:hAnsi="Times New Roman" w:eastAsia="宋体" w:cs="Times New Roman"/>
          <w:color w:val="auto"/>
          <w:highlight w:val="none"/>
        </w:rPr>
      </w:r>
      <w:r/>
    </w:p>
    <w:p>
      <w:pPr>
        <w:ind w:left="223" w:right="0" w:firstLine="0"/>
        <w:jc w:val="center"/>
        <w:spacing w:before="0" w:after="0" w:line="240" w:lineRule="auto"/>
        <w:rPr>
          <w:rFonts w:hint="default" w:ascii="Times New Roman" w:hAnsi="Times New Roman" w:eastAsia="宋体" w:cs="Times New Roman"/>
          <w:b/>
          <w:color w:val="auto"/>
          <w:sz w:val="28"/>
          <w:highlight w:val="none"/>
          <w:lang w:val="en-US" w:eastAsia="zh-CN"/>
        </w:rPr>
        <w:outlineLvl w:val="1"/>
      </w:pPr>
      <w:r/>
      <w:bookmarkStart w:id="244" w:name="_bookmark20"/>
      <w:r/>
      <w:bookmarkEnd w:id="244"/>
      <w:r/>
      <w:bookmarkStart w:id="245" w:name="_bookmark18"/>
      <w:r/>
      <w:bookmarkEnd w:id="245"/>
      <w:r/>
      <w:bookmarkStart w:id="246" w:name="五、磋商分项报价表"/>
      <w:r/>
      <w:bookmarkEnd w:id="246"/>
      <w:r>
        <w:rPr>
          <w:rFonts w:hint="default" w:ascii="Times New Roman" w:hAnsi="Times New Roman" w:eastAsia="宋体" w:cs="Times New Roman"/>
          <w:b/>
          <w:color w:val="auto"/>
          <w:sz w:val="28"/>
          <w:highlight w:val="none"/>
        </w:rPr>
        <w:t xml:space="preserve">磋商分项报价表</w:t>
      </w:r>
      <w:r>
        <w:rPr>
          <w:rFonts w:hint="default" w:ascii="Times New Roman" w:hAnsi="Times New Roman" w:eastAsia="宋体" w:cs="Times New Roman"/>
          <w:b/>
          <w:color w:val="auto"/>
          <w:sz w:val="28"/>
          <w:highlight w:val="none"/>
          <w:lang w:val="en-US" w:eastAsia="zh-CN"/>
        </w:rPr>
        <w:t xml:space="preserve">(</w:t>
      </w:r>
      <w:r>
        <w:rPr>
          <w:rFonts w:hint="eastAsia" w:ascii="Times New Roman" w:hAnsi="Times New Roman" w:cs="Times New Roman"/>
          <w:b/>
          <w:color w:val="auto"/>
          <w:sz w:val="28"/>
          <w:highlight w:val="none"/>
          <w:lang w:val="en-US" w:eastAsia="zh-CN"/>
        </w:rPr>
        <w:t xml:space="preserve">如有</w:t>
      </w:r>
      <w:r>
        <w:rPr>
          <w:rFonts w:hint="default" w:ascii="Times New Roman" w:hAnsi="Times New Roman" w:eastAsia="宋体" w:cs="Times New Roman"/>
          <w:b/>
          <w:color w:val="auto"/>
          <w:sz w:val="28"/>
          <w:highlight w:val="none"/>
          <w:lang w:val="en-US" w:eastAsia="zh-CN"/>
        </w:rPr>
        <w:t xml:space="preserve">仅作参考)</w:t>
      </w:r>
      <w:r/>
    </w:p>
    <w:p>
      <w:pPr>
        <w:pStyle w:val="817"/>
        <w:ind w:left="223" w:right="0"/>
        <w:jc w:val="left"/>
        <w:spacing w:before="156" w:after="0" w:line="240" w:lineRule="auto"/>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项目编号：</w:t>
      </w:r>
      <w:r/>
    </w:p>
    <w:p>
      <w:pPr>
        <w:pStyle w:val="817"/>
        <w:ind w:left="223" w:right="0"/>
        <w:jc w:val="left"/>
        <w:spacing w:before="156" w:after="0" w:line="240" w:lineRule="auto"/>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项目名称：</w:t>
      </w:r>
      <w:r>
        <w:rPr>
          <w:rFonts w:hint="eastAsia" w:ascii="Times New Roman" w:hAnsi="Times New Roman" w:cs="Times New Roman"/>
          <w:iCs/>
          <w:color w:val="auto"/>
          <w:sz w:val="21"/>
          <w:szCs w:val="21"/>
          <w:highlight w:val="none"/>
          <w:lang w:val="en-US" w:eastAsia="zh-CN" w:bidi="ar-SA"/>
        </w:rPr>
        <w:t xml:space="preserve">江宁区松树钻蛀类害虫系统调查项目</w:t>
      </w:r>
      <w:r/>
    </w:p>
    <w:p>
      <w:pPr>
        <w:pStyle w:val="817"/>
        <w:jc w:val="center"/>
        <w:spacing w:before="1"/>
        <w:rPr>
          <w:rFonts w:hint="eastAsia" w:ascii="Times New Roman" w:hAnsi="Times New Roman" w:eastAsia="宋体" w:cs="Times New Roman"/>
          <w:color w:val="auto"/>
          <w:highlight w:val="none"/>
          <w:lang w:val="en-US" w:eastAsia="zh-CN"/>
        </w:rPr>
        <w:outlineLvl w:val="1"/>
      </w:pPr>
      <w:r>
        <w:rPr>
          <w:rFonts w:hint="eastAsia" w:ascii="Times New Roman" w:hAnsi="Times New Roman" w:cs="Times New Roman"/>
          <w:color w:val="auto"/>
          <w:highlight w:val="none"/>
          <w:lang w:val="en-US" w:eastAsia="zh-CN"/>
        </w:rPr>
        <w:t xml:space="preserve">（格式内容自拟）</w:t>
      </w:r>
      <w:r/>
    </w:p>
    <w:p>
      <w:pPr>
        <w:pStyle w:val="817"/>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17"/>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说明：</w:t>
      </w:r>
      <w:r/>
    </w:p>
    <w:p>
      <w:pPr>
        <w:pStyle w:val="817"/>
        <w:ind w:left="223" w:right="252" w:firstLine="420"/>
        <w:jc w:val="both"/>
        <w:spacing w:line="278" w:lineRule="auto"/>
        <w:rPr>
          <w:rFonts w:hint="default" w:ascii="Times New Roman" w:hAnsi="Times New Roman" w:eastAsia="宋体" w:cs="Times New Roman"/>
          <w:color w:val="auto"/>
          <w:spacing w:val="-8"/>
          <w:highlight w:val="none"/>
        </w:rPr>
      </w:pPr>
      <w:r>
        <w:rPr>
          <w:rFonts w:hint="eastAsia" w:ascii="Times New Roman" w:hAnsi="Times New Roman" w:cs="Times New Roman"/>
          <w:color w:val="auto"/>
          <w:spacing w:val="-8"/>
          <w:highlight w:val="none"/>
          <w:lang w:val="en-US" w:eastAsia="zh-CN"/>
        </w:rPr>
        <w:t xml:space="preserve">1</w:t>
      </w:r>
      <w:r>
        <w:rPr>
          <w:rFonts w:hint="default" w:ascii="Times New Roman" w:hAnsi="Times New Roman" w:eastAsia="宋体" w:cs="Times New Roman"/>
          <w:color w:val="auto"/>
          <w:spacing w:val="-8"/>
          <w:highlight w:val="none"/>
        </w:rPr>
        <w:t xml:space="preserve">、采购代理机构对每一项货物和服务仅接受一个价格，不得填报有选择性报价方案。</w:t>
      </w:r>
      <w:r/>
    </w:p>
    <w:p>
      <w:pPr>
        <w:pStyle w:val="817"/>
        <w:ind w:left="223" w:right="252" w:firstLine="420"/>
        <w:jc w:val="both"/>
        <w:spacing w:line="278" w:lineRule="auto"/>
        <w:rPr>
          <w:rFonts w:hint="default" w:ascii="Times New Roman" w:hAnsi="Times New Roman" w:eastAsia="宋体" w:cs="Times New Roman"/>
          <w:color w:val="auto"/>
          <w:spacing w:val="-8"/>
          <w:highlight w:val="none"/>
        </w:rPr>
      </w:pPr>
      <w:r>
        <w:rPr>
          <w:rFonts w:hint="eastAsia" w:ascii="Times New Roman" w:hAnsi="Times New Roman" w:cs="Times New Roman"/>
          <w:color w:val="auto"/>
          <w:spacing w:val="-8"/>
          <w:highlight w:val="none"/>
          <w:lang w:val="en-US" w:eastAsia="zh-CN"/>
        </w:rPr>
        <w:t xml:space="preserve">2</w:t>
      </w:r>
      <w:r>
        <w:rPr>
          <w:rFonts w:hint="default" w:ascii="Times New Roman" w:hAnsi="Times New Roman" w:eastAsia="宋体" w:cs="Times New Roman"/>
          <w:color w:val="auto"/>
          <w:spacing w:val="-8"/>
          <w:highlight w:val="none"/>
        </w:rPr>
        <w:t xml:space="preserve">、经磋商后，如果成交价高于或低于供应商在响应文件首次报价的，分项报价同比例调整。</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lang w:val="en-US" w:eastAsia="zh-CN"/>
        </w:rPr>
        <w:outlineLvl w:val="0"/>
      </w:pPr>
      <w:r/>
      <w:bookmarkStart w:id="247" w:name="_Toc29719_WPSOffice_Level1"/>
      <w:r/>
      <w:bookmarkStart w:id="248" w:name="_Toc29814"/>
      <w:r/>
      <w:bookmarkStart w:id="249" w:name="_Toc1037"/>
      <w:r/>
      <w:r/>
    </w:p>
    <w:p>
      <w:pPr>
        <w:pStyle w:val="803"/>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03"/>
        <w:spacing w:before="42"/>
        <w:rPr>
          <w:rFonts w:hint="default" w:ascii="Times New Roman" w:hAnsi="Times New Roman" w:eastAsia="宋体" w:cs="Times New Roman"/>
          <w:color w:val="auto"/>
          <w:highlight w:val="none"/>
        </w:rPr>
        <w:outlineLvl w:val="0"/>
      </w:pPr>
      <w:r/>
      <w:bookmarkStart w:id="290" w:name="_GoBack"/>
      <w:r/>
      <w:bookmarkEnd w:id="290"/>
      <w:r>
        <w:rPr>
          <w:rFonts w:hint="default" w:ascii="Times New Roman" w:hAnsi="Times New Roman" w:eastAsia="宋体" w:cs="Times New Roman"/>
          <w:color w:val="auto"/>
          <w:highlight w:val="none"/>
          <w:lang w:val="en-US" w:eastAsia="zh-CN"/>
        </w:rPr>
        <w:t xml:space="preserve">六</w:t>
      </w:r>
      <w:r>
        <w:rPr>
          <w:rFonts w:hint="default" w:ascii="Times New Roman" w:hAnsi="Times New Roman" w:eastAsia="宋体" w:cs="Times New Roman"/>
          <w:color w:val="auto"/>
          <w:highlight w:val="none"/>
        </w:rPr>
        <w:t xml:space="preserve">、商务条款响应表</w:t>
      </w:r>
      <w:bookmarkEnd w:id="247"/>
      <w:r/>
      <w:bookmarkEnd w:id="248"/>
      <w:r/>
      <w:bookmarkEnd w:id="249"/>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商务条款响应表</w:t>
      </w:r>
      <w:r/>
    </w:p>
    <w:p>
      <w:pPr>
        <w:pStyle w:val="817"/>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817"/>
        <w:ind w:left="223"/>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JSZC-320115-YFZX-C2025-0003</w:t>
      </w:r>
      <w:r/>
    </w:p>
    <w:p>
      <w:pPr>
        <w:pStyle w:val="817"/>
        <w:ind w:left="22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w:t>
      </w:r>
      <w:r>
        <w:rPr>
          <w:rFonts w:hint="eastAsia" w:ascii="Times New Roman" w:hAnsi="Times New Roman" w:cs="Times New Roman"/>
          <w:color w:val="auto"/>
          <w:highlight w:val="none"/>
          <w:lang w:eastAsia="zh-CN"/>
        </w:rPr>
        <w:t xml:space="preserve">江宁区松树钻蛀类害虫系统调查项目</w:t>
      </w:r>
      <w:r>
        <w:rPr>
          <w:rFonts w:hint="default" w:ascii="Times New Roman" w:hAnsi="Times New Roman" w:eastAsia="宋体" w:cs="Times New Roman"/>
          <w:color w:val="auto"/>
          <w:highlight w:val="none"/>
        </w:rPr>
        <w:t xml:space="preserve"> </w:t>
      </w:r>
      <w:r/>
    </w:p>
    <w:p>
      <w:pPr>
        <w:pStyle w:val="817"/>
        <w:spacing w:before="10" w:after="1"/>
        <w:rPr>
          <w:rFonts w:hint="default" w:ascii="Times New Roman" w:hAnsi="Times New Roman" w:eastAsia="宋体" w:cs="Times New Roman"/>
          <w:color w:val="auto"/>
          <w:sz w:val="7"/>
          <w:highlight w:val="none"/>
        </w:rPr>
      </w:pPr>
      <w:r>
        <w:rPr>
          <w:rFonts w:hint="default" w:ascii="Times New Roman" w:hAnsi="Times New Roman" w:eastAsia="宋体" w:cs="Times New Roman"/>
          <w:color w:val="auto"/>
          <w:sz w:val="7"/>
          <w:highlight w:val="none"/>
        </w:rPr>
      </w:r>
      <w:r/>
    </w:p>
    <w:tbl>
      <w:tblPr>
        <w:tblStyle w:val="812"/>
        <w:tblW w:w="9210" w:type="dxa"/>
        <w:tblInd w:w="3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textDirection w:val="lrTb"/>
            <w:noWrap w:val="false"/>
          </w:tcPr>
          <w:p>
            <w:pPr>
              <w:pStyle w:val="1013"/>
              <w:ind w:left="402"/>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3291" w:type="dxa"/>
            <w:textDirection w:val="lrTb"/>
            <w:noWrap w:val="false"/>
          </w:tcPr>
          <w:p>
            <w:pPr>
              <w:pStyle w:val="1013"/>
              <w:ind w:left="699"/>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招标文件的商务条款</w:t>
            </w:r>
            <w:r/>
          </w:p>
        </w:tc>
        <w:tc>
          <w:tcPr>
            <w:tcW w:w="3429" w:type="dxa"/>
            <w:textDirection w:val="lrTb"/>
            <w:noWrap w:val="false"/>
          </w:tcPr>
          <w:p>
            <w:pPr>
              <w:pStyle w:val="1013"/>
              <w:ind w:left="76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响应文件的商务条款</w:t>
            </w:r>
            <w:r/>
          </w:p>
        </w:tc>
        <w:tc>
          <w:tcPr>
            <w:tcW w:w="1265" w:type="dxa"/>
            <w:textDirection w:val="lrTb"/>
            <w:noWrap w:val="false"/>
          </w:tcPr>
          <w:p>
            <w:pPr>
              <w:pStyle w:val="1013"/>
              <w:ind w:right="301"/>
              <w:jc w:val="right"/>
              <w:spacing w:before="98"/>
              <w:tabs>
                <w:tab w:val="left" w:pos="41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说</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明</w:t>
            </w:r>
            <w:r/>
          </w:p>
        </w:tc>
      </w:tr>
      <w:tr>
        <w:trPr>
          <w:trHeight w:val="467"/>
        </w:trPr>
        <w:tc>
          <w:tcPr>
            <w:tcW w:w="1225" w:type="dxa"/>
            <w:textDirection w:val="lrTb"/>
            <w:noWrap w:val="false"/>
          </w:tcPr>
          <w:p>
            <w:pPr>
              <w:pStyle w:val="1013"/>
              <w:ind w:left="11"/>
              <w:jc w:val="center"/>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1</w:t>
            </w:r>
            <w:r/>
          </w:p>
        </w:tc>
        <w:tc>
          <w:tcPr>
            <w:tcW w:w="3291" w:type="dxa"/>
            <w:textDirection w:val="lrTb"/>
            <w:noWrap w:val="false"/>
          </w:tcPr>
          <w:p>
            <w:pPr>
              <w:pStyle w:val="1013"/>
              <w:ind w:left="593"/>
              <w:spacing w:before="99"/>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投标函</w:t>
            </w:r>
            <w:r>
              <w:rPr>
                <w:rFonts w:hint="default" w:ascii="Times New Roman" w:hAnsi="Times New Roman" w:eastAsia="宋体" w:cs="Times New Roman"/>
                <w:color w:val="auto"/>
                <w:sz w:val="21"/>
                <w:highlight w:val="none"/>
                <w:lang w:val="en-US"/>
              </w:rPr>
              <w:t xml:space="preserve">(磋商申请及声明)</w:t>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13"/>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p>
        </w:tc>
        <w:tc>
          <w:tcPr>
            <w:tcW w:w="3291" w:type="dxa"/>
            <w:textDirection w:val="lrTb"/>
            <w:noWrap w:val="false"/>
          </w:tcPr>
          <w:p>
            <w:pPr>
              <w:pStyle w:val="1013"/>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法定代表人授权委托书</w:t>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225" w:type="dxa"/>
            <w:textDirection w:val="lrTb"/>
            <w:noWrap w:val="false"/>
          </w:tcPr>
          <w:p>
            <w:pPr>
              <w:pStyle w:val="1013"/>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3</w:t>
            </w:r>
            <w:r/>
          </w:p>
        </w:tc>
        <w:tc>
          <w:tcPr>
            <w:tcW w:w="3291" w:type="dxa"/>
            <w:textDirection w:val="lrTb"/>
            <w:noWrap w:val="false"/>
          </w:tcPr>
          <w:p>
            <w:pPr>
              <w:pStyle w:val="1013"/>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投标人资格声明</w:t>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13"/>
              <w:ind w:left="11"/>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4</w:t>
            </w:r>
            <w:r/>
          </w:p>
        </w:tc>
        <w:tc>
          <w:tcPr>
            <w:tcW w:w="3291" w:type="dxa"/>
            <w:textDirection w:val="lrTb"/>
            <w:noWrap w:val="false"/>
          </w:tcPr>
          <w:p>
            <w:pPr>
              <w:pStyle w:val="1013"/>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营业执照</w:t>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13"/>
              <w:ind w:left="11"/>
              <w:jc w:val="center"/>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5</w:t>
            </w:r>
            <w:r/>
          </w:p>
        </w:tc>
        <w:tc>
          <w:tcPr>
            <w:tcW w:w="329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13"/>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6</w:t>
            </w:r>
            <w:r/>
          </w:p>
        </w:tc>
        <w:tc>
          <w:tcPr>
            <w:tcW w:w="329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225" w:type="dxa"/>
            <w:textDirection w:val="lrTb"/>
            <w:noWrap w:val="false"/>
          </w:tcPr>
          <w:p>
            <w:pPr>
              <w:pStyle w:val="1013"/>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7</w:t>
            </w:r>
            <w:r/>
          </w:p>
        </w:tc>
        <w:tc>
          <w:tcPr>
            <w:tcW w:w="329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13"/>
              <w:ind w:left="429"/>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3291" w:type="dxa"/>
            <w:textDirection w:val="lrTb"/>
            <w:noWrap w:val="false"/>
          </w:tcPr>
          <w:p>
            <w:pPr>
              <w:pStyle w:val="1013"/>
              <w:ind w:left="434"/>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3429" w:type="dxa"/>
            <w:textDirection w:val="lrTb"/>
            <w:noWrap w:val="false"/>
          </w:tcPr>
          <w:p>
            <w:pPr>
              <w:pStyle w:val="1013"/>
              <w:ind w:left="434"/>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1265" w:type="dxa"/>
            <w:textDirection w:val="lrTb"/>
            <w:noWrap w:val="false"/>
          </w:tcPr>
          <w:p>
            <w:pPr>
              <w:pStyle w:val="1013"/>
              <w:ind w:right="301"/>
              <w:jc w:val="right"/>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r>
      <w:tr>
        <w:trPr>
          <w:trHeight w:val="467"/>
        </w:trPr>
        <w:tc>
          <w:tcPr>
            <w:tcW w:w="122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291" w:type="dxa"/>
            <w:textDirection w:val="lrTb"/>
            <w:noWrap w:val="false"/>
          </w:tcPr>
          <w:p>
            <w:pPr>
              <w:pStyle w:val="1013"/>
              <w:ind w:left="699"/>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（行数不够，自行添加）</w:t>
            </w:r>
            <w:r/>
          </w:p>
        </w:tc>
        <w:tc>
          <w:tcPr>
            <w:tcW w:w="3429"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17"/>
        <w:ind w:left="643" w:right="5880" w:hanging="420"/>
        <w:spacing w:line="379"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pStyle w:val="817"/>
        <w:ind w:left="643" w:right="2686" w:hanging="420"/>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注：</w:t>
      </w:r>
      <w:r>
        <w:rPr>
          <w:rFonts w:hint="default" w:ascii="Times New Roman" w:hAnsi="Times New Roman" w:eastAsia="宋体" w:cs="Times New Roman"/>
          <w:color w:val="auto"/>
          <w:highlight w:val="none"/>
        </w:rPr>
        <w:t xml:space="preserve">1.按照项目需求中的要求详细填列。</w:t>
      </w:r>
      <w:r/>
    </w:p>
    <w:p>
      <w:pPr>
        <w:pStyle w:val="817"/>
        <w:ind w:left="671" w:right="5880" w:firstLine="21"/>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2.行数不够，可自行添加。</w:t>
      </w:r>
      <w:r/>
    </w:p>
    <w:p>
      <w:pPr>
        <w:pStyle w:val="1005"/>
        <w:numPr>
          <w:ilvl w:val="0"/>
          <w:numId w:val="7"/>
        </w:numPr>
        <w:ind w:left="872"/>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21"/>
          <w:highlight w:val="none"/>
        </w:rPr>
        <w:t xml:space="preserve">请如实填写偏离表，如果虚假响应，将被暂停进入南京市采购活动。</w:t>
      </w:r>
      <w:r/>
    </w:p>
    <w:p>
      <w:pPr>
        <w:pStyle w:val="1005"/>
        <w:numPr>
          <w:ilvl w:val="0"/>
          <w:numId w:val="7"/>
        </w:numPr>
        <w:ind w:left="872"/>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19"/>
          <w:highlight w:val="none"/>
        </w:rPr>
        <w:t xml:space="preserve">若完全响应无偏离，则在表格中写“商务条款响应表全部符合无偏离”</w:t>
      </w:r>
      <w:r/>
    </w:p>
    <w:p>
      <w:pPr>
        <w:pStyle w:val="1005"/>
        <w:numPr>
          <w:ilvl w:val="0"/>
          <w:numId w:val="0"/>
        </w:numPr>
        <w:ind w:left="660"/>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19"/>
          <w:highlight w:val="none"/>
        </w:rPr>
      </w:r>
      <w:r/>
    </w:p>
    <w:p>
      <w:pPr>
        <w:pStyle w:val="817"/>
        <w:spacing w:before="7"/>
        <w:rPr>
          <w:rFonts w:hint="default" w:ascii="Times New Roman" w:hAnsi="Times New Roman" w:eastAsia="宋体" w:cs="Times New Roman"/>
          <w:b w:val="0"/>
          <w:bCs/>
          <w:color w:val="auto"/>
          <w:sz w:val="15"/>
          <w:highlight w:val="none"/>
        </w:rPr>
      </w:pPr>
      <w:r>
        <w:rPr>
          <w:rFonts w:hint="default" w:ascii="Times New Roman" w:hAnsi="Times New Roman" w:eastAsia="宋体" w:cs="Times New Roman"/>
          <w:b w:val="0"/>
          <w:bCs/>
          <w:color w:val="auto"/>
          <w:sz w:val="15"/>
          <w:highlight w:val="none"/>
        </w:rPr>
      </w:r>
      <w:r/>
    </w:p>
    <w:p>
      <w:pPr>
        <w:pStyle w:val="819"/>
        <w:rPr>
          <w:rFonts w:hint="default" w:ascii="Times New Roman" w:hAnsi="Times New Roman" w:eastAsia="宋体" w:cs="Times New Roman"/>
          <w:b w:val="0"/>
          <w:bCs/>
          <w:color w:val="auto"/>
          <w:highlight w:val="none"/>
        </w:rPr>
        <w:sectPr>
          <w:footerReference w:type="default" r:id="rId13"/>
          <w:footnotePr/>
          <w:endnotePr/>
          <w:type w:val="continuous"/>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b w:val="0"/>
          <w:bCs/>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50" w:name="七、技术规格偏离表（若有）"/>
      <w:r/>
      <w:bookmarkEnd w:id="250"/>
      <w:r/>
      <w:bookmarkStart w:id="251" w:name="_Toc6537"/>
      <w:r/>
      <w:bookmarkStart w:id="252" w:name="_Toc30924"/>
      <w:r/>
      <w:bookmarkStart w:id="253" w:name="_Toc16504_WPSOffice_Level1"/>
      <w:r>
        <w:rPr>
          <w:rFonts w:hint="default" w:ascii="Times New Roman" w:hAnsi="Times New Roman" w:eastAsia="宋体" w:cs="Times New Roman"/>
          <w:color w:val="auto"/>
          <w:highlight w:val="none"/>
          <w:lang w:val="en-US" w:eastAsia="zh-CN"/>
        </w:rPr>
        <w:t xml:space="preserve">七</w:t>
      </w:r>
      <w:r>
        <w:rPr>
          <w:rFonts w:hint="default" w:ascii="Times New Roman" w:hAnsi="Times New Roman" w:eastAsia="宋体" w:cs="Times New Roman"/>
          <w:color w:val="auto"/>
          <w:highlight w:val="none"/>
        </w:rPr>
        <w:t xml:space="preserve">、技术规格偏离表（若有）</w:t>
      </w:r>
      <w:bookmarkEnd w:id="251"/>
      <w:r/>
      <w:bookmarkEnd w:id="252"/>
      <w:r/>
      <w:bookmarkEnd w:id="253"/>
      <w:r/>
      <w:r/>
    </w:p>
    <w:p>
      <w:pPr>
        <w:pStyle w:val="817"/>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817"/>
        <w:ind w:left="268" w:right="299"/>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szCs w:val="28"/>
          <w:highlight w:val="none"/>
        </w:rPr>
        <w:t xml:space="preserve">技术规格偏离表</w:t>
      </w:r>
      <w:r>
        <w:rPr>
          <w:rFonts w:hint="default" w:ascii="Times New Roman" w:hAnsi="Times New Roman" w:eastAsia="宋体" w:cs="Times New Roman"/>
          <w:color w:val="auto"/>
          <w:highlight w:val="none"/>
        </w:rPr>
        <w:t xml:space="preserve">（由投标人据实提交）</w:t>
      </w:r>
      <w:r/>
    </w:p>
    <w:p>
      <w:pPr>
        <w:pStyle w:val="817"/>
        <w:ind w:left="223"/>
        <w:spacing w:before="7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JSZC-320115-YFZX-C2025-0003</w:t>
      </w:r>
      <w:r/>
    </w:p>
    <w:p>
      <w:pPr>
        <w:pStyle w:val="817"/>
        <w:spacing w:before="6"/>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17"/>
        <w:ind w:left="223"/>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w:t>
      </w:r>
      <w:r>
        <w:rPr>
          <w:rFonts w:hint="eastAsia" w:ascii="Times New Roman" w:hAnsi="Times New Roman" w:cs="Times New Roman"/>
          <w:color w:val="auto"/>
          <w:highlight w:val="none"/>
          <w:lang w:eastAsia="zh-CN"/>
        </w:rPr>
        <w:t xml:space="preserve">江宁区松树钻蛀类害虫系统调查项目</w:t>
      </w:r>
      <w:r>
        <w:rPr>
          <w:rFonts w:hint="default" w:ascii="Times New Roman" w:hAnsi="Times New Roman" w:eastAsia="宋体" w:cs="Times New Roman"/>
          <w:color w:val="auto"/>
          <w:highlight w:val="none"/>
        </w:rPr>
        <w:t xml:space="preserve"> </w:t>
      </w:r>
      <w:r/>
    </w:p>
    <w:p>
      <w:pPr>
        <w:pStyle w:val="817"/>
        <w:spacing w:before="10"/>
        <w:rPr>
          <w:rFonts w:hint="default" w:ascii="Times New Roman" w:hAnsi="Times New Roman" w:eastAsia="宋体" w:cs="Times New Roman"/>
          <w:color w:val="auto"/>
          <w:sz w:val="7"/>
          <w:highlight w:val="none"/>
        </w:rPr>
      </w:pPr>
      <w:r>
        <w:rPr>
          <w:rFonts w:hint="default" w:ascii="Times New Roman" w:hAnsi="Times New Roman" w:eastAsia="宋体" w:cs="Times New Roman"/>
          <w:color w:val="auto"/>
          <w:sz w:val="7"/>
          <w:highlight w:val="none"/>
        </w:rPr>
      </w:r>
      <w:r/>
    </w:p>
    <w:tbl>
      <w:tblPr>
        <w:tblStyle w:val="812"/>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textDirection w:val="lrTb"/>
            <w:noWrap w:val="false"/>
          </w:tcPr>
          <w:p>
            <w:pPr>
              <w:pStyle w:val="1013"/>
              <w:ind w:left="366"/>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2100" w:type="dxa"/>
            <w:textDirection w:val="lrTb"/>
            <w:noWrap w:val="false"/>
          </w:tcPr>
          <w:p>
            <w:pPr>
              <w:pStyle w:val="1013"/>
              <w:ind w:left="41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招标要求参数</w:t>
            </w:r>
            <w:r/>
          </w:p>
        </w:tc>
        <w:tc>
          <w:tcPr>
            <w:tcW w:w="2100" w:type="dxa"/>
            <w:textDirection w:val="lrTb"/>
            <w:noWrap w:val="false"/>
          </w:tcPr>
          <w:p>
            <w:pPr>
              <w:pStyle w:val="1013"/>
              <w:ind w:left="630"/>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实际响应</w:t>
            </w:r>
            <w:r/>
          </w:p>
        </w:tc>
        <w:tc>
          <w:tcPr>
            <w:tcW w:w="2205" w:type="dxa"/>
            <w:textDirection w:val="lrTb"/>
            <w:noWrap w:val="false"/>
          </w:tcPr>
          <w:p>
            <w:pPr>
              <w:pStyle w:val="1013"/>
              <w:ind w:left="157"/>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符合/正偏离/负偏离</w:t>
            </w:r>
            <w:r/>
          </w:p>
        </w:tc>
        <w:tc>
          <w:tcPr>
            <w:tcW w:w="1680" w:type="dxa"/>
            <w:textDirection w:val="lrTb"/>
            <w:noWrap w:val="false"/>
          </w:tcPr>
          <w:p>
            <w:pPr>
              <w:pStyle w:val="1013"/>
              <w:ind w:left="609" w:right="593"/>
              <w:jc w:val="center"/>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备注</w:t>
            </w:r>
            <w:r/>
          </w:p>
        </w:tc>
      </w:tr>
      <w:tr>
        <w:trPr>
          <w:trHeight w:val="467"/>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17"/>
        <w:spacing w:before="2"/>
        <w:rPr>
          <w:rFonts w:hint="default" w:ascii="Times New Roman" w:hAnsi="Times New Roman" w:eastAsia="宋体" w:cs="Times New Roman"/>
          <w:color w:val="auto"/>
          <w:sz w:val="14"/>
          <w:highlight w:val="none"/>
        </w:rPr>
      </w:pPr>
      <w:r>
        <w:rPr>
          <w:rFonts w:hint="default" w:ascii="Times New Roman" w:hAnsi="Times New Roman" w:eastAsia="宋体" w:cs="Times New Roman"/>
          <w:color w:val="auto"/>
          <w:sz w:val="14"/>
          <w:highlight w:val="none"/>
        </w:rPr>
      </w:r>
      <w:r/>
    </w:p>
    <w:p>
      <w:pPr>
        <w:pStyle w:val="817"/>
        <w:ind w:left="643" w:right="2696" w:hanging="420"/>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注：</w:t>
      </w:r>
      <w:r>
        <w:rPr>
          <w:rFonts w:hint="default" w:ascii="Times New Roman" w:hAnsi="Times New Roman" w:eastAsia="宋体" w:cs="Times New Roman"/>
          <w:color w:val="auto"/>
          <w:highlight w:val="none"/>
        </w:rPr>
        <w:t xml:space="preserve">1.按照项目需求中的要求详细填列。</w:t>
      </w:r>
      <w:r/>
    </w:p>
    <w:p>
      <w:pPr>
        <w:pStyle w:val="817"/>
        <w:ind w:left="671" w:right="2696" w:firstLine="21"/>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2.行数不够，可自行添加。</w:t>
      </w:r>
      <w:r/>
    </w:p>
    <w:p>
      <w:pPr>
        <w:pStyle w:val="1005"/>
        <w:numPr>
          <w:ilvl w:val="0"/>
          <w:numId w:val="0"/>
        </w:numPr>
        <w:ind w:left="660"/>
        <w:tabs>
          <w:tab w:val="left" w:pos="855" w:leader="none"/>
        </w:tabs>
        <w:rPr>
          <w:rFonts w:hint="default" w:ascii="Times New Roman" w:hAnsi="Times New Roman" w:eastAsia="宋体" w:cs="Times New Roman"/>
          <w:b/>
          <w:color w:val="auto"/>
          <w:sz w:val="19"/>
          <w:highlight w:val="none"/>
        </w:rPr>
      </w:pPr>
      <w:r>
        <w:rPr>
          <w:rFonts w:hint="default" w:ascii="Times New Roman" w:hAnsi="Times New Roman" w:eastAsia="宋体" w:cs="Times New Roman"/>
          <w:b/>
          <w:color w:val="auto"/>
          <w:sz w:val="21"/>
          <w:highlight w:val="none"/>
          <w:lang w:val="en-US" w:eastAsia="zh-CN"/>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
          <w:color w:val="auto"/>
          <w:sz w:val="21"/>
          <w:highlight w:val="none"/>
        </w:rPr>
        <w:t xml:space="preserve">请如实填写偏离表，如果虚假响应，将被暂停进入南京市采购活动。</w:t>
      </w:r>
      <w:r/>
    </w:p>
    <w:p>
      <w:pPr>
        <w:pStyle w:val="817"/>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1005"/>
        <w:numPr>
          <w:ilvl w:val="0"/>
          <w:numId w:val="0"/>
        </w:numPr>
        <w:ind w:left="661" w:right="252"/>
        <w:spacing w:before="0" w:line="417" w:lineRule="auto"/>
        <w:tabs>
          <w:tab w:val="left" w:pos="855" w:leader="none"/>
        </w:tabs>
        <w:rPr>
          <w:rFonts w:hint="default" w:ascii="Times New Roman" w:hAnsi="Times New Roman" w:eastAsia="宋体" w:cs="Times New Roman"/>
          <w:color w:val="auto"/>
          <w:sz w:val="19"/>
          <w:highlight w:val="none"/>
        </w:rPr>
      </w:pPr>
      <w:r>
        <w:rPr>
          <w:rFonts w:hint="default" w:ascii="Times New Roman" w:hAnsi="Times New Roman" w:eastAsia="宋体" w:cs="Times New Roman"/>
          <w:color w:val="auto"/>
          <w:sz w:val="21"/>
          <w:highlight w:val="none"/>
          <w:lang w:val="en-US" w:eastAsia="zh-CN"/>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1"/>
          <w:highlight w:val="none"/>
        </w:rPr>
        <w:t xml:space="preserve">投标人可根据各个需求表的内容填报技术规格响应表，但技术规格响应表的内容必须对其相对应的供货需求的内容全部响应，否则，该投标将可能被视为非实质性响应性投标而被拒绝。</w:t>
      </w:r>
      <w:r/>
    </w:p>
    <w:p>
      <w:pPr>
        <w:pStyle w:val="1005"/>
        <w:numPr>
          <w:ilvl w:val="0"/>
          <w:numId w:val="0"/>
        </w:numPr>
        <w:ind w:left="660"/>
        <w:spacing w:before="0" w:line="269" w:lineRule="exact"/>
        <w:tabs>
          <w:tab w:val="left" w:pos="857" w:leader="none"/>
        </w:tabs>
        <w:rPr>
          <w:rFonts w:hint="default" w:ascii="Times New Roman" w:hAnsi="Times New Roman" w:eastAsia="宋体" w:cs="Times New Roman"/>
          <w:b/>
          <w:color w:val="auto"/>
          <w:sz w:val="19"/>
          <w:highlight w:val="none"/>
        </w:rPr>
      </w:pPr>
      <w:r>
        <w:rPr>
          <w:rFonts w:hint="default" w:ascii="Times New Roman" w:hAnsi="Times New Roman" w:eastAsia="宋体" w:cs="Times New Roman"/>
          <w:b/>
          <w:color w:val="auto"/>
          <w:sz w:val="19"/>
          <w:highlight w:val="none"/>
        </w:rPr>
      </w:r>
      <w:r/>
    </w:p>
    <w:p>
      <w:pPr>
        <w:spacing w:line="269" w:lineRule="exact"/>
        <w:rPr>
          <w:rFonts w:hint="default" w:ascii="Times New Roman" w:hAnsi="Times New Roman" w:eastAsia="宋体" w:cs="Times New Roman"/>
          <w:color w:val="auto"/>
          <w:sz w:val="19"/>
          <w:highlight w:val="none"/>
        </w:rPr>
        <w:sectPr>
          <w:footnotePr/>
          <w:endnotePr/>
          <w:type w:val="nextPage"/>
          <w:pgSz w:w="11910" w:h="16840" w:orient="portrait"/>
          <w:pgMar w:top="1440" w:right="1417" w:bottom="1160" w:left="1417" w:header="737" w:footer="697" w:gutter="0"/>
          <w:cols w:num="1" w:sep="0" w:space="720" w:equalWidth="1"/>
          <w:docGrid w:linePitch="360"/>
        </w:sectPr>
      </w:pPr>
      <w:r>
        <w:rPr>
          <w:rFonts w:hint="default" w:ascii="Times New Roman" w:hAnsi="Times New Roman" w:eastAsia="宋体" w:cs="Times New Roman"/>
          <w:color w:val="auto"/>
          <w:sz w:val="19"/>
          <w:highlight w:val="none"/>
        </w:rPr>
      </w:r>
      <w:r/>
    </w:p>
    <w:p>
      <w:pPr>
        <w:pStyle w:val="803"/>
        <w:spacing w:before="42"/>
        <w:rPr>
          <w:rFonts w:hint="default" w:ascii="Times New Roman" w:hAnsi="Times New Roman" w:eastAsia="宋体" w:cs="Times New Roman"/>
          <w:color w:val="auto"/>
          <w:highlight w:val="none"/>
        </w:rPr>
        <w:outlineLvl w:val="0"/>
      </w:pPr>
      <w:r/>
      <w:bookmarkStart w:id="254" w:name="九、项目实施方案"/>
      <w:r/>
      <w:bookmarkEnd w:id="254"/>
      <w:r/>
      <w:bookmarkStart w:id="255" w:name="_bookmark22"/>
      <w:r/>
      <w:bookmarkEnd w:id="255"/>
      <w:r/>
      <w:bookmarkStart w:id="256" w:name="_Toc21543"/>
      <w:r/>
      <w:bookmarkStart w:id="257" w:name="_Toc2591"/>
      <w:r/>
      <w:bookmarkStart w:id="258" w:name="_Toc3737_WPSOffice_Level1"/>
      <w:r>
        <w:rPr>
          <w:rFonts w:hint="default" w:ascii="Times New Roman" w:hAnsi="Times New Roman" w:eastAsia="宋体" w:cs="Times New Roman"/>
          <w:color w:val="auto"/>
          <w:highlight w:val="none"/>
          <w:lang w:val="en-US" w:eastAsia="zh-CN"/>
        </w:rPr>
        <w:t xml:space="preserve">八</w:t>
      </w:r>
      <w:r>
        <w:rPr>
          <w:rFonts w:hint="default" w:ascii="Times New Roman" w:hAnsi="Times New Roman" w:eastAsia="宋体" w:cs="Times New Roman"/>
          <w:color w:val="auto"/>
          <w:highlight w:val="none"/>
        </w:rPr>
        <w:t xml:space="preserve">、项目实施方案</w:t>
      </w:r>
      <w:bookmarkEnd w:id="256"/>
      <w:r/>
      <w:bookmarkEnd w:id="257"/>
      <w:r/>
      <w:bookmarkEnd w:id="258"/>
      <w:r/>
      <w:r/>
    </w:p>
    <w:p>
      <w:pPr>
        <w:pStyle w:val="81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ind w:left="223"/>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项目实施方案</w:t>
      </w:r>
      <w:r/>
    </w:p>
    <w:p>
      <w:pPr>
        <w:pStyle w:val="817"/>
        <w:ind w:left="403"/>
        <w:spacing w:before="4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（格式自拟）</w:t>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17"/>
        <w:ind w:left="223" w:firstLine="5744"/>
        <w:spacing w:before="1"/>
        <w:rPr>
          <w:rFonts w:hint="default" w:ascii="Times New Roman" w:hAnsi="Times New Roman" w:eastAsia="宋体" w:cs="Times New Roman"/>
          <w:color w:val="auto"/>
          <w:highlight w:val="none"/>
          <w:lang w:val="en-US"/>
        </w:rPr>
      </w:pPr>
      <w:r/>
      <w:bookmarkStart w:id="259" w:name="_bookmark25"/>
      <w:r/>
      <w:bookmarkEnd w:id="259"/>
      <w:r/>
      <w:bookmarkStart w:id="260" w:name="十、项目组成员一览表"/>
      <w:r/>
      <w:bookmarkEnd w:id="260"/>
      <w:r/>
      <w:bookmarkStart w:id="261" w:name="_bookmark23"/>
      <w:r/>
      <w:bookmarkEnd w:id="261"/>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03"/>
        <w:spacing w:before="42"/>
        <w:rPr>
          <w:rFonts w:hint="default" w:ascii="Times New Roman" w:hAnsi="Times New Roman" w:eastAsia="宋体" w:cs="Times New Roman"/>
          <w:color w:val="auto"/>
          <w:highlight w:val="none"/>
        </w:rPr>
        <w:outlineLvl w:val="0"/>
      </w:pPr>
      <w:r/>
      <w:bookmarkStart w:id="262" w:name="_Toc30460"/>
      <w:r/>
      <w:bookmarkStart w:id="263" w:name="_Toc6106_WPSOffice_Level1"/>
      <w:r/>
      <w:bookmarkStart w:id="264" w:name="_Toc8289"/>
      <w:r>
        <w:rPr>
          <w:rFonts w:hint="default" w:ascii="Times New Roman" w:hAnsi="Times New Roman" w:eastAsia="宋体" w:cs="Times New Roman"/>
          <w:color w:val="auto"/>
          <w:highlight w:val="none"/>
          <w:lang w:val="en-US" w:eastAsia="zh-CN"/>
        </w:rPr>
        <w:t xml:space="preserve">九</w:t>
      </w:r>
      <w:r>
        <w:rPr>
          <w:rFonts w:hint="default" w:ascii="Times New Roman" w:hAnsi="Times New Roman" w:eastAsia="宋体" w:cs="Times New Roman"/>
          <w:color w:val="auto"/>
          <w:highlight w:val="none"/>
        </w:rPr>
        <w:t xml:space="preserve">、项目组成员一览表</w:t>
      </w:r>
      <w:bookmarkEnd w:id="262"/>
      <w:r/>
      <w:bookmarkEnd w:id="263"/>
      <w:r/>
      <w:bookmarkEnd w:id="264"/>
      <w:r/>
      <w:r/>
    </w:p>
    <w:p>
      <w:pPr>
        <w:pStyle w:val="817"/>
        <w:spacing w:before="10"/>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项目组成员一览表</w:t>
      </w:r>
      <w:r/>
    </w:p>
    <w:p>
      <w:pPr>
        <w:pStyle w:val="817"/>
        <w:spacing w:before="4" w:after="1"/>
        <w:rPr>
          <w:rFonts w:hint="default" w:ascii="Times New Roman" w:hAnsi="Times New Roman" w:eastAsia="宋体" w:cs="Times New Roman"/>
          <w:b/>
          <w:color w:val="auto"/>
          <w:sz w:val="25"/>
          <w:highlight w:val="none"/>
        </w:rPr>
      </w:pPr>
      <w:r>
        <w:rPr>
          <w:rFonts w:hint="default" w:ascii="Times New Roman" w:hAnsi="Times New Roman" w:eastAsia="宋体" w:cs="Times New Roman"/>
          <w:b/>
          <w:color w:val="auto"/>
          <w:sz w:val="25"/>
          <w:highlight w:val="none"/>
        </w:rPr>
      </w:r>
      <w:r/>
    </w:p>
    <w:tbl>
      <w:tblPr>
        <w:tblStyle w:val="812"/>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textDirection w:val="lrTb"/>
            <w:noWrap w:val="false"/>
          </w:tcPr>
          <w:p>
            <w:pPr>
              <w:pStyle w:val="1013"/>
              <w:ind w:left="106"/>
              <w:spacing w:before="2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项目名称：</w:t>
            </w:r>
            <w:r>
              <w:rPr>
                <w:rFonts w:hint="eastAsia" w:ascii="Times New Roman" w:hAnsi="Times New Roman" w:cs="Times New Roman"/>
                <w:iCs/>
                <w:color w:val="auto"/>
                <w:sz w:val="21"/>
                <w:szCs w:val="21"/>
                <w:highlight w:val="none"/>
                <w:lang w:val="en-US" w:eastAsia="zh-CN" w:bidi="ar-SA"/>
              </w:rPr>
              <w:t xml:space="preserve">江宁区松树钻蛀类害虫系统调查项目</w:t>
            </w:r>
            <w:r>
              <w:rPr>
                <w:rFonts w:hint="default" w:ascii="Times New Roman" w:hAnsi="Times New Roman" w:eastAsia="宋体" w:cs="Times New Roman"/>
                <w:color w:val="auto"/>
                <w:sz w:val="21"/>
                <w:highlight w:val="none"/>
              </w:rPr>
              <w:t xml:space="preserve"> </w:t>
            </w:r>
            <w:r/>
          </w:p>
        </w:tc>
        <w:tc>
          <w:tcPr>
            <w:gridSpan w:val="2"/>
            <w:tcW w:w="3778" w:type="dxa"/>
            <w:textDirection w:val="lrTb"/>
            <w:noWrap w:val="false"/>
          </w:tcPr>
          <w:p>
            <w:pPr>
              <w:pStyle w:val="1013"/>
              <w:ind w:left="106"/>
              <w:spacing w:before="20"/>
              <w:rPr>
                <w:rFonts w:hint="default"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JSZC-320115-YFZX-C2025-0003</w:t>
            </w:r>
            <w:r/>
          </w:p>
        </w:tc>
      </w:tr>
      <w:tr>
        <w:trPr>
          <w:trHeight w:val="312"/>
        </w:trPr>
        <w:tc>
          <w:tcPr>
            <w:tcW w:w="752" w:type="dxa"/>
            <w:textDirection w:val="lrTb"/>
            <w:noWrap w:val="false"/>
          </w:tcPr>
          <w:p>
            <w:pPr>
              <w:pStyle w:val="1013"/>
              <w:ind w:left="164"/>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761" w:type="dxa"/>
            <w:textDirection w:val="lrTb"/>
            <w:noWrap w:val="false"/>
          </w:tcPr>
          <w:p>
            <w:pPr>
              <w:pStyle w:val="1013"/>
              <w:ind w:left="168"/>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姓名</w:t>
            </w:r>
            <w:r/>
          </w:p>
        </w:tc>
        <w:tc>
          <w:tcPr>
            <w:tcW w:w="705" w:type="dxa"/>
            <w:textDirection w:val="lrTb"/>
            <w:noWrap w:val="false"/>
          </w:tcPr>
          <w:p>
            <w:pPr>
              <w:pStyle w:val="1013"/>
              <w:ind w:left="141"/>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性别</w:t>
            </w:r>
            <w:r/>
          </w:p>
        </w:tc>
        <w:tc>
          <w:tcPr>
            <w:tcW w:w="1105" w:type="dxa"/>
            <w:textDirection w:val="lrTb"/>
            <w:noWrap w:val="false"/>
          </w:tcPr>
          <w:p>
            <w:pPr>
              <w:pStyle w:val="1013"/>
              <w:ind w:left="13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执业资格</w:t>
            </w:r>
            <w:r/>
          </w:p>
        </w:tc>
        <w:tc>
          <w:tcPr>
            <w:tcW w:w="1105" w:type="dxa"/>
            <w:textDirection w:val="lrTb"/>
            <w:noWrap w:val="false"/>
          </w:tcPr>
          <w:p>
            <w:pPr>
              <w:pStyle w:val="1013"/>
              <w:ind w:left="34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专业</w:t>
            </w:r>
            <w:r/>
          </w:p>
        </w:tc>
        <w:tc>
          <w:tcPr>
            <w:tcW w:w="1080" w:type="dxa"/>
            <w:textDirection w:val="lrTb"/>
            <w:noWrap w:val="false"/>
          </w:tcPr>
          <w:p>
            <w:pPr>
              <w:pStyle w:val="1013"/>
              <w:ind w:left="118"/>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技术职称</w:t>
            </w:r>
            <w:r/>
          </w:p>
        </w:tc>
        <w:tc>
          <w:tcPr>
            <w:tcW w:w="2294" w:type="dxa"/>
            <w:textDirection w:val="lrTb"/>
            <w:noWrap w:val="false"/>
          </w:tcPr>
          <w:p>
            <w:pPr>
              <w:pStyle w:val="1013"/>
              <w:ind w:left="20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在本项目从事的岗位</w:t>
            </w:r>
            <w:r/>
          </w:p>
        </w:tc>
        <w:tc>
          <w:tcPr>
            <w:tcW w:w="1484" w:type="dxa"/>
            <w:textDirection w:val="lrTb"/>
            <w:noWrap w:val="false"/>
          </w:tcPr>
          <w:p>
            <w:pPr>
              <w:pStyle w:val="1013"/>
              <w:ind w:left="320"/>
              <w:spacing w:before="22"/>
              <w:tabs>
                <w:tab w:val="left" w:pos="954"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备</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注</w:t>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1"/>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1"/>
        </w:trPr>
        <w:tc>
          <w:tcPr>
            <w:tcW w:w="752"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13"/>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17"/>
        <w:ind w:left="223" w:firstLine="5744"/>
        <w:spacing w:before="1"/>
        <w:rPr>
          <w:rFonts w:hint="default" w:ascii="Times New Roman" w:hAnsi="Times New Roman" w:eastAsia="宋体" w:cs="Times New Roman"/>
          <w:color w:val="auto"/>
          <w:highlight w:val="none"/>
          <w:lang w:val="en-US"/>
        </w:rPr>
      </w:pPr>
      <w:r/>
      <w:bookmarkStart w:id="265" w:name="十一、无重大违法记录声明格式"/>
      <w:r/>
      <w:bookmarkEnd w:id="265"/>
      <w:r/>
      <w:bookmarkStart w:id="266" w:name="_bookmark24"/>
      <w:r/>
      <w:bookmarkEnd w:id="266"/>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67" w:name="_Toc26084"/>
      <w:r/>
      <w:bookmarkStart w:id="268" w:name="_Toc14559_WPSOffice_Level1"/>
      <w:r/>
      <w:bookmarkStart w:id="269" w:name="_Toc29722"/>
      <w:r>
        <w:rPr>
          <w:rFonts w:hint="default" w:ascii="Times New Roman" w:hAnsi="Times New Roman" w:eastAsia="宋体" w:cs="Times New Roman"/>
          <w:color w:val="auto"/>
          <w:highlight w:val="none"/>
          <w:lang w:val="en-US" w:eastAsia="zh-CN"/>
        </w:rPr>
        <w:t xml:space="preserve">十</w:t>
      </w:r>
      <w:r>
        <w:rPr>
          <w:rFonts w:hint="default" w:ascii="Times New Roman" w:hAnsi="Times New Roman" w:eastAsia="宋体" w:cs="Times New Roman"/>
          <w:color w:val="auto"/>
          <w:highlight w:val="none"/>
        </w:rPr>
        <w:t xml:space="preserve">、无重大违法记录声明格式</w:t>
      </w:r>
      <w:bookmarkEnd w:id="267"/>
      <w:r/>
      <w:bookmarkEnd w:id="268"/>
      <w:r/>
      <w:bookmarkEnd w:id="269"/>
      <w:r/>
      <w:r/>
    </w:p>
    <w:p>
      <w:pPr>
        <w:pStyle w:val="817"/>
        <w:spacing w:before="7"/>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无重大违法记录声明</w:t>
      </w:r>
      <w:r/>
    </w:p>
    <w:p>
      <w:pPr>
        <w:pStyle w:val="817"/>
        <w:spacing w:before="9"/>
        <w:rPr>
          <w:rFonts w:hint="default" w:ascii="Times New Roman" w:hAnsi="Times New Roman" w:eastAsia="宋体" w:cs="Times New Roman"/>
          <w:b/>
          <w:color w:val="auto"/>
          <w:sz w:val="12"/>
          <w:highlight w:val="none"/>
        </w:rPr>
      </w:pPr>
      <w:r>
        <w:rPr>
          <w:rFonts w:hint="default" w:ascii="Times New Roman" w:hAnsi="Times New Roman" w:eastAsia="宋体" w:cs="Times New Roman"/>
          <w:b/>
          <w:color w:val="auto"/>
          <w:sz w:val="12"/>
          <w:highlight w:val="none"/>
        </w:rPr>
      </w:r>
      <w:r/>
    </w:p>
    <w:p>
      <w:pPr>
        <w:pStyle w:val="817"/>
        <w:ind w:left="223"/>
        <w:spacing w:before="6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 xml:space="preserve">南京市江宁区农业农村局</w:t>
      </w:r>
      <w:r>
        <w:rPr>
          <w:rFonts w:hint="default" w:ascii="Times New Roman" w:hAnsi="Times New Roman" w:eastAsia="宋体" w:cs="Times New Roman"/>
          <w:color w:val="auto"/>
          <w:highlight w:val="none"/>
        </w:rPr>
        <w:t xml:space="preserve">：</w:t>
      </w:r>
      <w:r/>
    </w:p>
    <w:p>
      <w:pPr>
        <w:pStyle w:val="817"/>
        <w:spacing w:before="7"/>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17"/>
        <w:ind w:left="691"/>
        <w:tabs>
          <w:tab w:val="left" w:pos="5920"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11"/>
          <w:highlight w:val="none"/>
        </w:rPr>
        <w:t xml:space="preserve">我</w:t>
      </w:r>
      <w:r>
        <w:rPr>
          <w:rFonts w:hint="default" w:ascii="Times New Roman" w:hAnsi="Times New Roman" w:eastAsia="宋体" w:cs="Times New Roman"/>
          <w:color w:val="auto"/>
          <w:spacing w:val="14"/>
          <w:highlight w:val="none"/>
        </w:rPr>
        <w:t xml:space="preserve">单</w:t>
      </w:r>
      <w:r>
        <w:rPr>
          <w:rFonts w:hint="default" w:ascii="Times New Roman" w:hAnsi="Times New Roman" w:eastAsia="宋体" w:cs="Times New Roman"/>
          <w:color w:val="auto"/>
          <w:spacing w:val="13"/>
          <w:highlight w:val="none"/>
        </w:rPr>
        <w:t xml:space="preserve">位</w:t>
      </w:r>
      <w:r>
        <w:rPr>
          <w:rFonts w:hint="default" w:ascii="Times New Roman" w:hAnsi="Times New Roman" w:eastAsia="宋体" w:cs="Times New Roman"/>
          <w:color w:val="auto"/>
          <w:spacing w:val="13"/>
          <w:highlight w:val="none"/>
          <w:u w:val="single"/>
        </w:rPr>
        <w:t xml:space="preserve"> </w:t>
      </w:r>
      <w:r>
        <w:rPr>
          <w:rFonts w:hint="default" w:ascii="Times New Roman" w:hAnsi="Times New Roman" w:eastAsia="宋体" w:cs="Times New Roman"/>
          <w:color w:val="auto"/>
          <w:spacing w:val="13"/>
          <w:highlight w:val="none"/>
          <w:u w:val="single"/>
        </w:rPr>
        <w:tab/>
      </w:r>
      <w:r>
        <w:rPr>
          <w:rFonts w:hint="default" w:ascii="Times New Roman" w:hAnsi="Times New Roman" w:eastAsia="宋体" w:cs="Times New Roman"/>
          <w:color w:val="auto"/>
          <w:spacing w:val="11"/>
          <w:highlight w:val="none"/>
        </w:rPr>
        <w:t xml:space="preserve">（</w:t>
      </w:r>
      <w:r>
        <w:rPr>
          <w:rFonts w:hint="default" w:ascii="Times New Roman" w:hAnsi="Times New Roman" w:eastAsia="宋体" w:cs="Times New Roman"/>
          <w:color w:val="auto"/>
          <w:spacing w:val="14"/>
          <w:highlight w:val="none"/>
        </w:rPr>
        <w:t xml:space="preserve">供</w:t>
      </w:r>
      <w:r>
        <w:rPr>
          <w:rFonts w:hint="default" w:ascii="Times New Roman" w:hAnsi="Times New Roman" w:eastAsia="宋体" w:cs="Times New Roman"/>
          <w:color w:val="auto"/>
          <w:spacing w:val="11"/>
          <w:highlight w:val="none"/>
        </w:rPr>
        <w:t xml:space="preserve">应</w:t>
      </w:r>
      <w:r>
        <w:rPr>
          <w:rFonts w:hint="default" w:ascii="Times New Roman" w:hAnsi="Times New Roman" w:eastAsia="宋体" w:cs="Times New Roman"/>
          <w:color w:val="auto"/>
          <w:spacing w:val="14"/>
          <w:highlight w:val="none"/>
        </w:rPr>
        <w:t xml:space="preserve">商</w:t>
      </w:r>
      <w:r>
        <w:rPr>
          <w:rFonts w:hint="default" w:ascii="Times New Roman" w:hAnsi="Times New Roman" w:eastAsia="宋体" w:cs="Times New Roman"/>
          <w:color w:val="auto"/>
          <w:spacing w:val="11"/>
          <w:highlight w:val="none"/>
        </w:rPr>
        <w:t xml:space="preserve">名</w:t>
      </w:r>
      <w:r>
        <w:rPr>
          <w:rFonts w:hint="default" w:ascii="Times New Roman" w:hAnsi="Times New Roman" w:eastAsia="宋体" w:cs="Times New Roman"/>
          <w:color w:val="auto"/>
          <w:spacing w:val="14"/>
          <w:highlight w:val="none"/>
        </w:rPr>
        <w:t xml:space="preserve">称</w:t>
      </w:r>
      <w:r>
        <w:rPr>
          <w:rFonts w:hint="default" w:ascii="Times New Roman" w:hAnsi="Times New Roman" w:eastAsia="宋体" w:cs="Times New Roman"/>
          <w:color w:val="auto"/>
          <w:spacing w:val="11"/>
          <w:highlight w:val="none"/>
        </w:rPr>
        <w:t xml:space="preserve">）</w:t>
      </w:r>
      <w:r>
        <w:rPr>
          <w:rFonts w:hint="default" w:ascii="Times New Roman" w:hAnsi="Times New Roman" w:eastAsia="宋体" w:cs="Times New Roman"/>
          <w:color w:val="auto"/>
          <w:spacing w:val="14"/>
          <w:highlight w:val="none"/>
        </w:rPr>
        <w:t xml:space="preserve">郑</w:t>
      </w:r>
      <w:r>
        <w:rPr>
          <w:rFonts w:hint="default" w:ascii="Times New Roman" w:hAnsi="Times New Roman" w:eastAsia="宋体" w:cs="Times New Roman"/>
          <w:color w:val="auto"/>
          <w:spacing w:val="11"/>
          <w:highlight w:val="none"/>
        </w:rPr>
        <w:t xml:space="preserve">重</w:t>
      </w:r>
      <w:r>
        <w:rPr>
          <w:rFonts w:hint="default" w:ascii="Times New Roman" w:hAnsi="Times New Roman" w:eastAsia="宋体" w:cs="Times New Roman"/>
          <w:color w:val="auto"/>
          <w:spacing w:val="14"/>
          <w:highlight w:val="none"/>
        </w:rPr>
        <w:t xml:space="preserve">声</w:t>
      </w:r>
      <w:r>
        <w:rPr>
          <w:rFonts w:hint="default" w:ascii="Times New Roman" w:hAnsi="Times New Roman" w:eastAsia="宋体" w:cs="Times New Roman"/>
          <w:color w:val="auto"/>
          <w:spacing w:val="11"/>
          <w:highlight w:val="none"/>
        </w:rPr>
        <w:t xml:space="preserve">明</w:t>
      </w:r>
      <w:r>
        <w:rPr>
          <w:rFonts w:hint="default" w:ascii="Times New Roman" w:hAnsi="Times New Roman" w:eastAsia="宋体" w:cs="Times New Roman"/>
          <w:color w:val="auto"/>
          <w:highlight w:val="none"/>
        </w:rPr>
        <w:t xml:space="preserve">：</w:t>
      </w:r>
      <w:r/>
    </w:p>
    <w:p>
      <w:pPr>
        <w:pStyle w:val="817"/>
        <w:spacing w:before="7"/>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17"/>
        <w:ind w:left="223" w:right="262" w:firstLine="468"/>
        <w:spacing w:line="417" w:lineRule="auto"/>
        <w:tabs>
          <w:tab w:val="left" w:pos="566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14"/>
          <w:highlight w:val="none"/>
        </w:rPr>
        <w:t xml:space="preserve">参加采购活</w:t>
      </w:r>
      <w:r>
        <w:rPr>
          <w:rFonts w:hint="default" w:ascii="Times New Roman" w:hAnsi="Times New Roman" w:eastAsia="宋体" w:cs="Times New Roman"/>
          <w:color w:val="auto"/>
          <w:spacing w:val="16"/>
          <w:highlight w:val="none"/>
        </w:rPr>
        <w:t xml:space="preserve">动</w:t>
      </w:r>
      <w:r>
        <w:rPr>
          <w:rFonts w:hint="default" w:ascii="Times New Roman" w:hAnsi="Times New Roman" w:eastAsia="宋体" w:cs="Times New Roman"/>
          <w:color w:val="auto"/>
          <w:highlight w:val="none"/>
        </w:rPr>
        <w:t xml:space="preserve">前</w:t>
      </w:r>
      <w:r>
        <w:rPr>
          <w:rFonts w:hint="default" w:ascii="Times New Roman" w:hAnsi="Times New Roman" w:eastAsia="宋体" w:cs="Times New Roman"/>
          <w:color w:val="auto"/>
          <w:spacing w:val="-41"/>
          <w:highlight w:val="none"/>
        </w:rPr>
        <w:t xml:space="preserve"> </w:t>
      </w:r>
      <w:r>
        <w:rPr>
          <w:rFonts w:hint="default" w:ascii="Times New Roman" w:hAnsi="Times New Roman" w:eastAsia="宋体" w:cs="Times New Roman"/>
          <w:color w:val="auto"/>
          <w:highlight w:val="none"/>
        </w:rPr>
        <w:t xml:space="preserve">3</w:t>
      </w:r>
      <w:r>
        <w:rPr>
          <w:rFonts w:hint="default" w:ascii="Times New Roman" w:hAnsi="Times New Roman" w:eastAsia="宋体" w:cs="Times New Roman"/>
          <w:color w:val="auto"/>
          <w:spacing w:val="-46"/>
          <w:highlight w:val="none"/>
        </w:rPr>
        <w:t xml:space="preserve"> </w:t>
      </w:r>
      <w:r>
        <w:rPr>
          <w:rFonts w:hint="default" w:ascii="Times New Roman" w:hAnsi="Times New Roman" w:eastAsia="宋体" w:cs="Times New Roman"/>
          <w:color w:val="auto"/>
          <w:spacing w:val="14"/>
          <w:highlight w:val="none"/>
        </w:rPr>
        <w:t xml:space="preserve">年内</w:t>
      </w:r>
      <w:r>
        <w:rPr>
          <w:rFonts w:hint="default" w:ascii="Times New Roman" w:hAnsi="Times New Roman" w:eastAsia="宋体" w:cs="Times New Roman"/>
          <w:color w:val="auto"/>
          <w:spacing w:val="16"/>
          <w:highlight w:val="none"/>
        </w:rPr>
        <w:t xml:space="preserve">在</w:t>
      </w:r>
      <w:r>
        <w:rPr>
          <w:rFonts w:hint="default" w:ascii="Times New Roman" w:hAnsi="Times New Roman" w:eastAsia="宋体" w:cs="Times New Roman"/>
          <w:color w:val="auto"/>
          <w:spacing w:val="14"/>
          <w:highlight w:val="none"/>
        </w:rPr>
        <w:t xml:space="preserve">经营活动</w:t>
      </w:r>
      <w:r>
        <w:rPr>
          <w:rFonts w:hint="default" w:ascii="Times New Roman" w:hAnsi="Times New Roman" w:eastAsia="宋体" w:cs="Times New Roman"/>
          <w:color w:val="auto"/>
          <w:spacing w:val="16"/>
          <w:highlight w:val="none"/>
        </w:rPr>
        <w:t xml:space="preserve">中</w:t>
      </w:r>
      <w:r>
        <w:rPr>
          <w:rFonts w:hint="default" w:ascii="Times New Roman" w:hAnsi="Times New Roman" w:eastAsia="宋体" w:cs="Times New Roman"/>
          <w:color w:val="auto"/>
          <w:spacing w:val="16"/>
          <w:highlight w:val="none"/>
          <w:u w:val="single"/>
        </w:rPr>
        <w:t xml:space="preserve"> </w:t>
      </w:r>
      <w:r>
        <w:rPr>
          <w:rFonts w:hint="default" w:ascii="Times New Roman" w:hAnsi="Times New Roman" w:eastAsia="宋体" w:cs="Times New Roman"/>
          <w:color w:val="auto"/>
          <w:spacing w:val="16"/>
          <w:highlight w:val="none"/>
          <w:u w:val="single"/>
        </w:rPr>
        <w:tab/>
      </w:r>
      <w:r>
        <w:rPr>
          <w:rFonts w:hint="default" w:ascii="Times New Roman" w:hAnsi="Times New Roman" w:eastAsia="宋体" w:cs="Times New Roman"/>
          <w:color w:val="auto"/>
          <w:highlight w:val="none"/>
        </w:rPr>
        <w:t xml:space="preserve">（在下划线上如实填写：有或没有）重大违法记录。</w:t>
      </w:r>
      <w:r/>
    </w:p>
    <w:p>
      <w:pPr>
        <w:pStyle w:val="817"/>
        <w:ind w:left="691"/>
        <w:spacing w:line="269"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（说明：政府采购法第二十二条第一款第五项所称重大违法记录，是指供应商因违法经营受到</w:t>
      </w:r>
      <w:r/>
    </w:p>
    <w:p>
      <w:pPr>
        <w:pStyle w:val="817"/>
        <w:spacing w:before="6"/>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17"/>
        <w:ind w:left="223"/>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刑事处罚或者责令停产停业、吊销许可证或者执照、较大数额罚款等行政处罚。）</w:t>
      </w:r>
      <w:r/>
    </w:p>
    <w:p>
      <w:pPr>
        <w:pStyle w:val="817"/>
        <w:ind w:left="223" w:firstLine="5744"/>
        <w:spacing w:before="1"/>
        <w:rPr>
          <w:rFonts w:hint="default" w:ascii="Times New Roman" w:hAnsi="Times New Roman" w:eastAsia="宋体" w:cs="Times New Roman"/>
          <w:color w:val="auto"/>
          <w:highlight w:val="none"/>
          <w:lang w:val="en-US"/>
        </w:rPr>
      </w:pPr>
      <w:r/>
      <w:bookmarkStart w:id="270" w:name="十二、具备履行合同所必需的设备和专业技术能力的书面声明"/>
      <w:r/>
      <w:bookmarkEnd w:id="270"/>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03"/>
        <w:spacing w:before="42"/>
        <w:rPr>
          <w:rFonts w:hint="default" w:ascii="Times New Roman" w:hAnsi="Times New Roman" w:eastAsia="宋体" w:cs="Times New Roman"/>
          <w:color w:val="auto"/>
          <w:highlight w:val="none"/>
        </w:rPr>
        <w:outlineLvl w:val="0"/>
      </w:pPr>
      <w:r/>
      <w:bookmarkStart w:id="271" w:name="_Toc5606"/>
      <w:r/>
      <w:bookmarkStart w:id="272" w:name="_Toc25762"/>
      <w:r/>
      <w:bookmarkStart w:id="273" w:name="_Toc6242_WPSOffice_Level1"/>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一</w:t>
      </w:r>
      <w:r>
        <w:rPr>
          <w:rFonts w:hint="default" w:ascii="Times New Roman" w:hAnsi="Times New Roman" w:eastAsia="宋体" w:cs="Times New Roman"/>
          <w:color w:val="auto"/>
          <w:highlight w:val="none"/>
        </w:rPr>
        <w:t xml:space="preserve">、具备履行合同所必需的设备和专业技术能力的书面声明</w:t>
      </w:r>
      <w:bookmarkEnd w:id="271"/>
      <w:r/>
      <w:bookmarkEnd w:id="272"/>
      <w:r/>
      <w:bookmarkEnd w:id="273"/>
      <w:r/>
      <w:r/>
    </w:p>
    <w:p>
      <w:pPr>
        <w:pStyle w:val="81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17"/>
        <w:spacing w:before="8"/>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17"/>
        <w:ind w:left="223" w:right="255" w:firstLine="420"/>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17"/>
        <w:ind w:left="643"/>
        <w:spacing w:line="269" w:lineRule="exact"/>
        <w:tabs>
          <w:tab w:val="left" w:pos="326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主要设备有：</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rPr>
        <w:t xml:space="preserve">。</w:t>
      </w:r>
      <w:r/>
    </w:p>
    <w:p>
      <w:pPr>
        <w:pStyle w:val="817"/>
        <w:ind w:left="643"/>
        <w:spacing w:before="43"/>
        <w:tabs>
          <w:tab w:val="left" w:pos="410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主要专业技术能力有：</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rPr>
        <w:t xml:space="preserve">。</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17"/>
        <w:spacing w:before="2"/>
        <w:rPr>
          <w:rFonts w:hint="default" w:ascii="Times New Roman" w:hAnsi="Times New Roman" w:eastAsia="宋体" w:cs="Times New Roman"/>
          <w:color w:val="auto"/>
          <w:sz w:val="25"/>
          <w:highlight w:val="none"/>
        </w:rPr>
      </w:pPr>
      <w:r>
        <w:rPr>
          <w:rFonts w:hint="default" w:ascii="Times New Roman" w:hAnsi="Times New Roman" w:eastAsia="宋体" w:cs="Times New Roman"/>
          <w:color w:val="auto"/>
          <w:sz w:val="25"/>
          <w:highlight w:val="none"/>
        </w:rPr>
      </w:r>
      <w:r/>
    </w:p>
    <w:p>
      <w:pPr>
        <w:rPr>
          <w:rFonts w:hint="default" w:ascii="Times New Roman" w:hAnsi="Times New Roman" w:eastAsia="宋体" w:cs="Times New Roman"/>
          <w:color w:val="auto"/>
          <w:sz w:val="25"/>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5"/>
          <w:highlight w:val="none"/>
        </w:rPr>
      </w:r>
      <w:r/>
    </w:p>
    <w:p>
      <w:pPr>
        <w:pStyle w:val="803"/>
        <w:spacing w:before="42"/>
        <w:rPr>
          <w:rFonts w:hint="default" w:ascii="Times New Roman" w:hAnsi="Times New Roman" w:eastAsia="宋体" w:cs="Times New Roman"/>
          <w:color w:val="auto"/>
          <w:highlight w:val="none"/>
        </w:rPr>
        <w:outlineLvl w:val="0"/>
      </w:pPr>
      <w:r/>
      <w:bookmarkStart w:id="274" w:name="_bookmark26"/>
      <w:r/>
      <w:bookmarkEnd w:id="274"/>
      <w:r/>
      <w:bookmarkStart w:id="275" w:name="十三、质量保证及服务承诺"/>
      <w:r/>
      <w:bookmarkEnd w:id="275"/>
      <w:r/>
      <w:bookmarkStart w:id="276" w:name="_Toc20727"/>
      <w:r/>
      <w:bookmarkStart w:id="277" w:name="_Toc1871_WPSOffice_Level1"/>
      <w:r/>
      <w:bookmarkStart w:id="278" w:name="_Toc30793"/>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二</w:t>
      </w:r>
      <w:r>
        <w:rPr>
          <w:rFonts w:hint="default" w:ascii="Times New Roman" w:hAnsi="Times New Roman" w:eastAsia="宋体" w:cs="Times New Roman"/>
          <w:color w:val="auto"/>
          <w:highlight w:val="none"/>
        </w:rPr>
        <w:t xml:space="preserve">、质量保证及服务承诺</w:t>
      </w:r>
      <w:bookmarkEnd w:id="276"/>
      <w:r/>
      <w:bookmarkEnd w:id="277"/>
      <w:r/>
      <w:bookmarkEnd w:id="278"/>
      <w:r/>
      <w:r/>
    </w:p>
    <w:p>
      <w:pPr>
        <w:pStyle w:val="817"/>
        <w:rPr>
          <w:rFonts w:hint="default" w:ascii="Times New Roman" w:hAnsi="Times New Roman" w:eastAsia="宋体" w:cs="Times New Roman"/>
          <w:b/>
          <w:color w:val="auto"/>
          <w:sz w:val="35"/>
          <w:highlight w:val="none"/>
        </w:rPr>
      </w:pPr>
      <w:r>
        <w:rPr>
          <w:rFonts w:hint="default" w:ascii="Times New Roman" w:hAnsi="Times New Roman" w:eastAsia="宋体" w:cs="Times New Roman"/>
          <w:b/>
          <w:color w:val="auto"/>
          <w:sz w:val="35"/>
          <w:highlight w:val="none"/>
        </w:rPr>
      </w:r>
      <w:r/>
    </w:p>
    <w:p>
      <w:pPr>
        <w:ind w:firstLine="560"/>
        <w:jc w:val="center"/>
        <w:rPr>
          <w:rFonts w:hint="default" w:ascii="Times New Roman" w:hAnsi="Times New Roman" w:eastAsia="宋体" w:cs="Times New Roman"/>
          <w:color w:val="auto"/>
          <w:sz w:val="28"/>
          <w:szCs w:val="28"/>
          <w:highlight w:val="none"/>
        </w:rPr>
        <w:outlineLvl w:val="1"/>
      </w:pPr>
      <w:r>
        <w:rPr>
          <w:rFonts w:hint="default" w:ascii="Times New Roman" w:hAnsi="Times New Roman" w:eastAsia="宋体" w:cs="Times New Roman"/>
          <w:color w:val="auto"/>
          <w:sz w:val="28"/>
          <w:szCs w:val="28"/>
          <w:highlight w:val="none"/>
        </w:rPr>
        <w:t xml:space="preserve">质量保证及服务承诺</w:t>
      </w:r>
      <w:r/>
    </w:p>
    <w:p>
      <w:pPr>
        <w:pStyle w:val="817"/>
        <w:spacing w:before="12"/>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17"/>
        <w:ind w:left="223" w:right="255" w:firstLine="420"/>
        <w:spacing w:before="76" w:line="278" w:lineRule="auto"/>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我公司就项目编号为“</w:t>
      </w:r>
      <w:r>
        <w:rPr>
          <w:rFonts w:hint="eastAsia" w:ascii="Times New Roman" w:hAnsi="Times New Roman"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 xml:space="preserve">”的</w:t>
      </w:r>
      <w:r>
        <w:rPr>
          <w:rFonts w:hint="eastAsia" w:ascii="Times New Roman" w:hAnsi="Times New Roman" w:cs="Times New Roman"/>
          <w:color w:val="auto"/>
          <w:highlight w:val="none"/>
          <w:lang w:eastAsia="zh-CN"/>
        </w:rPr>
        <w:t xml:space="preserve">江宁区松树钻蛀类害虫系统调查项目</w:t>
      </w:r>
      <w:r>
        <w:rPr>
          <w:rFonts w:hint="default" w:ascii="Times New Roman" w:hAnsi="Times New Roman" w:eastAsia="宋体" w:cs="Times New Roman"/>
          <w:color w:val="auto"/>
          <w:highlight w:val="none"/>
        </w:rPr>
        <w:t xml:space="preserve">质量保证及服务承诺如下：</w:t>
      </w:r>
      <w:r/>
    </w:p>
    <w:p>
      <w:pPr>
        <w:pStyle w:val="817"/>
        <w:ind w:left="448" w:right="118"/>
        <w:jc w:val="center"/>
        <w:rPr>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t xml:space="preserve">（供应商自拟）</w:t>
      </w:r>
      <w:r/>
    </w:p>
    <w:p>
      <w:pPr>
        <w:pStyle w:val="817"/>
        <w:spacing w:before="3"/>
        <w:rPr>
          <w:rFonts w:hint="default" w:ascii="Times New Roman" w:hAnsi="Times New Roman" w:eastAsia="宋体" w:cs="Times New Roman"/>
          <w:color w:val="auto"/>
          <w:sz w:val="22"/>
          <w:highlight w:val="none"/>
        </w:rPr>
        <w:outlineLvl w:val="9"/>
      </w:pPr>
      <w:r>
        <w:rPr>
          <w:rFonts w:hint="default" w:ascii="Times New Roman" w:hAnsi="Times New Roman" w:eastAsia="宋体" w:cs="Times New Roman"/>
          <w:color w:val="auto"/>
          <w:sz w:val="22"/>
          <w:highlight w:val="none"/>
        </w:rPr>
      </w:r>
      <w:r/>
    </w:p>
    <w:p>
      <w:pPr>
        <w:pStyle w:val="817"/>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日    期：</w:t>
      </w:r>
      <w:r/>
    </w:p>
    <w:p>
      <w:pPr>
        <w:pStyle w:val="817"/>
        <w:rPr>
          <w:rFonts w:hint="default" w:ascii="Times New Roman" w:hAnsi="Times New Roman" w:eastAsia="宋体" w:cs="Times New Roman"/>
          <w:color w:val="auto"/>
          <w:sz w:val="20"/>
          <w:highlight w:val="none"/>
        </w:rPr>
        <w:outlineLvl w:val="9"/>
      </w:pPr>
      <w:r>
        <w:rPr>
          <w:rFonts w:hint="default" w:ascii="Times New Roman" w:hAnsi="Times New Roman" w:eastAsia="宋体" w:cs="Times New Roman"/>
          <w:color w:val="auto"/>
          <w:sz w:val="20"/>
          <w:highlight w:val="none"/>
        </w:rPr>
      </w:r>
      <w:r/>
    </w:p>
    <w:p>
      <w:pPr>
        <w:pStyle w:val="81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0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03"/>
        <w:spacing w:before="42"/>
        <w:rPr>
          <w:rFonts w:hint="default" w:ascii="Times New Roman" w:hAnsi="Times New Roman" w:eastAsia="宋体" w:cs="Times New Roman"/>
          <w:color w:val="auto"/>
          <w:highlight w:val="none"/>
        </w:rPr>
        <w:outlineLvl w:val="0"/>
      </w:pPr>
      <w:r/>
      <w:bookmarkStart w:id="279" w:name="_Toc23992"/>
      <w:r/>
      <w:bookmarkStart w:id="280" w:name="_Toc12671"/>
      <w:r/>
      <w:bookmarkStart w:id="281" w:name="_Toc21144_WPSOffice_Level1"/>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三</w:t>
      </w:r>
      <w:r>
        <w:rPr>
          <w:rFonts w:hint="default" w:ascii="Times New Roman" w:hAnsi="Times New Roman" w:eastAsia="宋体" w:cs="Times New Roman"/>
          <w:color w:val="auto"/>
          <w:highlight w:val="none"/>
        </w:rPr>
        <w:t xml:space="preserve">、中小企业声明函</w:t>
      </w:r>
      <w:bookmarkEnd w:id="279"/>
      <w:r/>
      <w:bookmarkEnd w:id="280"/>
      <w:r/>
      <w:bookmarkEnd w:id="281"/>
      <w:r/>
      <w:r/>
    </w:p>
    <w:p>
      <w:pPr>
        <w:jc w:val="center"/>
        <w:spacing w:line="360" w:lineRule="auto"/>
        <w:rPr>
          <w:rFonts w:hint="default" w:ascii="Times New Roman" w:hAnsi="Times New Roman" w:eastAsia="宋体" w:cs="Times New Roman"/>
          <w:color w:val="auto"/>
          <w:sz w:val="32"/>
          <w:szCs w:val="32"/>
          <w:highlight w:val="none"/>
        </w:rPr>
        <w:outlineLvl w:val="1"/>
      </w:pPr>
      <w:r/>
      <w:bookmarkStart w:id="282" w:name="_bookmark28"/>
      <w:r/>
      <w:bookmarkEnd w:id="282"/>
      <w:r/>
      <w:bookmarkStart w:id="283" w:name="十五、残疾人福利性单位声明函"/>
      <w:r/>
      <w:bookmarkEnd w:id="283"/>
      <w:r>
        <w:rPr>
          <w:rFonts w:hint="default" w:ascii="Times New Roman" w:hAnsi="Times New Roman" w:eastAsia="宋体" w:cs="Times New Roman"/>
          <w:color w:val="auto"/>
          <w:sz w:val="32"/>
          <w:szCs w:val="32"/>
          <w:highlight w:val="none"/>
        </w:rPr>
        <w:t xml:space="preserve">中小企业声明函（服务）</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本公司（联合体）郑重声明，根据《政府采购促进中小企业发展管理办法》(财库〔2020〕46号)的规定，本公司（联合体）参加</w:t>
      </w:r>
      <w:r>
        <w:rPr>
          <w:rFonts w:hint="default" w:ascii="Times New Roman" w:hAnsi="Times New Roman" w:eastAsia="宋体" w:cs="Times New Roman"/>
          <w:color w:val="auto"/>
          <w:sz w:val="21"/>
          <w:szCs w:val="21"/>
          <w:highlight w:val="none"/>
          <w:u w:val="single"/>
        </w:rPr>
        <w:t xml:space="preserve">XXXXXXXXXXXXXXXXXXX</w:t>
      </w:r>
      <w:r>
        <w:rPr>
          <w:rFonts w:hint="default" w:ascii="Times New Roman" w:hAnsi="Times New Roman" w:eastAsia="宋体" w:cs="Times New Roman"/>
          <w:color w:val="auto"/>
          <w:sz w:val="21"/>
          <w:szCs w:val="21"/>
          <w:highlight w:val="none"/>
        </w:rPr>
        <w:t xml:space="preserve">（单位名称）采购编号为</w:t>
      </w:r>
      <w:r>
        <w:rPr>
          <w:rFonts w:hint="default" w:ascii="Times New Roman" w:hAnsi="Times New Roman" w:eastAsia="宋体" w:cs="Times New Roman"/>
          <w:color w:val="auto"/>
          <w:sz w:val="21"/>
          <w:szCs w:val="21"/>
          <w:highlight w:val="none"/>
          <w:u w:val="single"/>
          <w:lang w:val="en-US"/>
        </w:rPr>
        <w:t xml:space="preserve">             </w:t>
      </w:r>
      <w:r>
        <w:rPr>
          <w:rFonts w:hint="default" w:ascii="Times New Roman" w:hAnsi="Times New Roman" w:eastAsia="宋体" w:cs="Times New Roman"/>
          <w:color w:val="auto"/>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（标的名称）属于</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eastAsia="zh-CN"/>
        </w:rPr>
        <w:t xml:space="preserve">租赁和商务服务业</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行业（采购文件中明确的所属行业）；承接企业为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（企业名称），从业人员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w:t>
      </w:r>
      <w:r>
        <w:rPr>
          <w:rFonts w:hint="default" w:ascii="Times New Roman" w:hAnsi="Times New Roman" w:eastAsia="宋体" w:cs="Times New Roman"/>
          <w:color w:val="auto"/>
          <w:sz w:val="21"/>
          <w:szCs w:val="21"/>
          <w:highlight w:val="none"/>
          <w:vertAlign w:val="superscript"/>
        </w:rPr>
        <w:t xml:space="preserve">1</w:t>
      </w:r>
      <w:r>
        <w:rPr>
          <w:rFonts w:hint="default" w:ascii="Times New Roman" w:hAnsi="Times New Roman" w:eastAsia="宋体" w:cs="Times New Roman"/>
          <w:color w:val="auto"/>
          <w:sz w:val="21"/>
          <w:szCs w:val="21"/>
          <w:highlight w:val="none"/>
        </w:rPr>
        <w:t xml:space="preserve">，属于中型企业 ¨小型企业 微型企业。</w:t>
      </w:r>
      <w:r/>
    </w:p>
    <w:p>
      <w:pPr>
        <w:ind w:firstLine="480"/>
        <w:spacing w:line="360" w:lineRule="auto"/>
        <w:rPr>
          <w:rFonts w:hint="default" w:ascii="Times New Roman" w:hAnsi="Times New Roman" w:eastAsia="宋体" w:cs="Times New Roman"/>
          <w:i/>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（标的名称）属于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行业（采购文件中明确的所属行业）；承接企业为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（企业名称），从业人员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w:t>
      </w:r>
      <w:r>
        <w:rPr>
          <w:rFonts w:hint="default" w:ascii="Times New Roman" w:hAnsi="Times New Roman" w:eastAsia="宋体" w:cs="Times New Roman"/>
          <w:color w:val="auto"/>
          <w:sz w:val="21"/>
          <w:szCs w:val="21"/>
          <w:highlight w:val="none"/>
          <w:vertAlign w:val="superscript"/>
        </w:rPr>
        <w:t xml:space="preserve">1</w:t>
      </w:r>
      <w:r>
        <w:rPr>
          <w:rFonts w:hint="default" w:ascii="Times New Roman" w:hAnsi="Times New Roman" w:eastAsia="宋体" w:cs="Times New Roman"/>
          <w:color w:val="auto"/>
          <w:sz w:val="21"/>
          <w:szCs w:val="21"/>
          <w:highlight w:val="none"/>
        </w:rPr>
        <w:t xml:space="preserve">，属于中型企业 小型企业 微型企业。</w:t>
      </w:r>
      <w:r/>
    </w:p>
    <w:p>
      <w:pPr>
        <w:ind w:firstLine="36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本企业对上述声明内容的真实性负责，如有虚假，将依法承担相应责任。</w:t>
      </w:r>
      <w:r/>
    </w:p>
    <w:p>
      <w:pPr>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r>
      <w:r/>
    </w:p>
    <w:p>
      <w:pPr>
        <w:ind w:right="180" w:firstLine="360"/>
        <w:jc w:val="center"/>
        <w:spacing w:line="360" w:lineRule="auto"/>
        <w:rPr>
          <w:rFonts w:hint="default" w:ascii="Times New Roman" w:hAnsi="Times New Roman" w:eastAsia="宋体" w:cs="Times New Roman"/>
          <w:color w:val="auto"/>
          <w:sz w:val="21"/>
          <w:szCs w:val="21"/>
          <w:highlight w:val="none"/>
        </w:rPr>
        <w:outlineLvl w:val="1"/>
      </w:pPr>
      <w:r>
        <w:rPr>
          <w:rFonts w:hint="default" w:ascii="Times New Roman" w:hAnsi="Times New Roman" w:eastAsia="宋体" w:cs="Times New Roman"/>
          <w:color w:val="auto"/>
          <w:sz w:val="21"/>
          <w:szCs w:val="21"/>
          <w:highlight w:val="none"/>
        </w:rPr>
        <w:t xml:space="preserve">                                        企业名称：（加盖公章）</w:t>
      </w:r>
      <w:r/>
    </w:p>
    <w:p>
      <w:pPr>
        <w:ind w:firstLine="600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日    期：</w:t>
      </w:r>
      <w:r/>
    </w:p>
    <w:p>
      <w:pPr>
        <w:ind w:firstLine="480"/>
        <w:spacing w:line="360" w:lineRule="auto"/>
        <w:widowControl/>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spacing w:before="154"/>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hint="default" w:ascii="Times New Roman" w:hAnsi="Times New Roman" w:eastAsia="宋体" w:cs="Times New Roman"/>
          <w:color w:val="auto"/>
          <w:sz w:val="21"/>
          <w:szCs w:val="24"/>
          <w:highlight w:val="none"/>
          <w:lang w:val="en-US" w:bidi="ar-SA"/>
        </w:rPr>
        <mc:AlternateContent>
          <mc:Choice Requires="wpg">
            <w:drawing>
              <wp:inline xmlns:wp="http://schemas.openxmlformats.org/drawingml/2006/wordprocessingDrawing" distT="0" distB="0" distL="0" distR="0">
                <wp:extent cx="5840095" cy="3541395"/>
                <wp:effectExtent l="0" t="0" r="1206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5840095" cy="354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5" o:title=""/>
              </v:shape>
            </w:pict>
          </mc:Fallback>
        </mc:AlternateContent>
      </w:r>
      <w:r/>
    </w:p>
    <w:p>
      <w:pPr>
        <w:pStyle w:val="803"/>
        <w:spacing w:before="42"/>
        <w:rPr>
          <w:rFonts w:hint="default" w:ascii="Times New Roman" w:hAnsi="Times New Roman" w:eastAsia="宋体" w:cs="Times New Roman"/>
          <w:color w:val="auto"/>
          <w:highlight w:val="none"/>
        </w:rPr>
        <w:outlineLvl w:val="0"/>
      </w:pPr>
      <w:r/>
      <w:bookmarkStart w:id="284" w:name="_Toc16837"/>
      <w:r/>
      <w:bookmarkStart w:id="285" w:name="_Toc7125"/>
      <w:r/>
      <w:bookmarkStart w:id="286" w:name="_Toc10046_WPSOffice_Level1"/>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四</w:t>
      </w:r>
      <w:r>
        <w:rPr>
          <w:rFonts w:hint="default" w:ascii="Times New Roman" w:hAnsi="Times New Roman" w:eastAsia="宋体" w:cs="Times New Roman"/>
          <w:color w:val="auto"/>
          <w:highlight w:val="none"/>
        </w:rPr>
        <w:t xml:space="preserve">、残疾人福利性单位声明函</w:t>
      </w:r>
      <w:bookmarkEnd w:id="284"/>
      <w:r/>
      <w:bookmarkEnd w:id="285"/>
      <w:r/>
      <w:bookmarkEnd w:id="286"/>
      <w:r/>
      <w:r/>
    </w:p>
    <w:p>
      <w:pPr>
        <w:pStyle w:val="81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17"/>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17"/>
        <w:spacing w:before="10"/>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残疾人福利性单位声明函</w:t>
      </w:r>
      <w:r/>
    </w:p>
    <w:p>
      <w:pPr>
        <w:pStyle w:val="817"/>
        <w:ind w:left="223" w:right="264" w:firstLine="444"/>
        <w:jc w:val="both"/>
        <w:spacing w:before="155" w:line="278" w:lineRule="auto"/>
        <w:tabs>
          <w:tab w:val="left" w:pos="4847" w:leader="underscore"/>
        </w:tabs>
        <w:rPr>
          <w:rFonts w:hint="default" w:ascii="Times New Roman" w:hAnsi="Times New Roman" w:eastAsia="宋体" w:cs="Times New Roman"/>
          <w:color w:val="auto"/>
          <w:spacing w:val="11"/>
          <w:highlight w:val="none"/>
        </w:rPr>
      </w:pPr>
      <w:r>
        <w:rPr>
          <w:rFonts w:hint="default" w:ascii="Times New Roman" w:hAnsi="Times New Roman" w:eastAsia="宋体" w:cs="Times New Roman"/>
          <w:color w:val="auto"/>
          <w:spacing w:val="11"/>
          <w:highlight w:val="none"/>
        </w:rPr>
        <w:t xml:space="preserve">本</w:t>
      </w:r>
      <w:r>
        <w:rPr>
          <w:rFonts w:hint="default" w:ascii="Times New Roman" w:hAnsi="Times New Roman" w:eastAsia="宋体" w:cs="Times New Roman"/>
          <w:color w:val="auto"/>
          <w:spacing w:val="14"/>
          <w:highlight w:val="none"/>
        </w:rPr>
        <w:t xml:space="preserve">单</w:t>
      </w:r>
      <w:r>
        <w:rPr>
          <w:rFonts w:hint="default" w:ascii="Times New Roman" w:hAnsi="Times New Roman" w:eastAsia="宋体" w:cs="Times New Roman"/>
          <w:color w:val="auto"/>
          <w:spacing w:val="11"/>
          <w:highlight w:val="none"/>
        </w:rPr>
        <w:t xml:space="preserve">位</w:t>
      </w:r>
      <w:r>
        <w:rPr>
          <w:rFonts w:hint="default" w:ascii="Times New Roman" w:hAnsi="Times New Roman" w:eastAsia="宋体" w:cs="Times New Roman"/>
          <w:color w:val="auto"/>
          <w:spacing w:val="14"/>
          <w:highlight w:val="none"/>
        </w:rPr>
        <w:t xml:space="preserve">郑</w:t>
      </w:r>
      <w:r>
        <w:rPr>
          <w:rFonts w:hint="default" w:ascii="Times New Roman" w:hAnsi="Times New Roman" w:eastAsia="宋体" w:cs="Times New Roman"/>
          <w:color w:val="auto"/>
          <w:spacing w:val="11"/>
          <w:highlight w:val="none"/>
        </w:rPr>
        <w:t xml:space="preserve">重</w:t>
      </w:r>
      <w:r>
        <w:rPr>
          <w:rFonts w:hint="default" w:ascii="Times New Roman" w:hAnsi="Times New Roman" w:eastAsia="宋体" w:cs="Times New Roman"/>
          <w:color w:val="auto"/>
          <w:spacing w:val="14"/>
          <w:highlight w:val="none"/>
        </w:rPr>
        <w:t xml:space="preserve">声明</w:t>
      </w:r>
      <w:r>
        <w:rPr>
          <w:rFonts w:hint="default" w:ascii="Times New Roman" w:hAnsi="Times New Roman" w:eastAsia="宋体" w:cs="Times New Roman"/>
          <w:color w:val="auto"/>
          <w:spacing w:val="-32"/>
          <w:highlight w:val="none"/>
        </w:rPr>
        <w:t xml:space="preserve">，</w:t>
      </w:r>
      <w:r>
        <w:rPr>
          <w:rFonts w:hint="default" w:ascii="Times New Roman" w:hAnsi="Times New Roman" w:eastAsia="宋体" w:cs="Times New Roman"/>
          <w:color w:val="auto"/>
          <w:spacing w:val="11"/>
          <w:highlight w:val="none"/>
        </w:rPr>
        <w:t xml:space="preserve">根</w:t>
      </w:r>
      <w:r>
        <w:rPr>
          <w:rFonts w:hint="default" w:ascii="Times New Roman" w:hAnsi="Times New Roman" w:eastAsia="宋体" w:cs="Times New Roman"/>
          <w:color w:val="auto"/>
          <w:spacing w:val="-32"/>
          <w:highlight w:val="none"/>
        </w:rPr>
        <w:t xml:space="preserve">据</w:t>
      </w:r>
      <w:r>
        <w:rPr>
          <w:rFonts w:hint="default" w:ascii="Times New Roman" w:hAnsi="Times New Roman" w:eastAsia="宋体" w:cs="Times New Roman"/>
          <w:color w:val="auto"/>
          <w:spacing w:val="11"/>
          <w:highlight w:val="none"/>
        </w:rPr>
        <w:t xml:space="preserve">《财</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部</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11"/>
          <w:highlight w:val="none"/>
        </w:rPr>
        <w:t xml:space="preserve">民</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部</w:t>
      </w:r>
      <w:r>
        <w:rPr>
          <w:rFonts w:hint="default" w:ascii="Times New Roman" w:hAnsi="Times New Roman" w:eastAsia="宋体" w:cs="Times New Roman"/>
          <w:color w:val="auto"/>
          <w:spacing w:val="6"/>
          <w:highlight w:val="none"/>
        </w:rPr>
        <w:t xml:space="preserve"> </w:t>
      </w:r>
      <w:r>
        <w:rPr>
          <w:rFonts w:hint="default" w:ascii="Times New Roman" w:hAnsi="Times New Roman" w:eastAsia="宋体" w:cs="Times New Roman"/>
          <w:color w:val="auto"/>
          <w:spacing w:val="11"/>
          <w:highlight w:val="none"/>
        </w:rPr>
        <w:t xml:space="preserve">中</w:t>
      </w:r>
      <w:r>
        <w:rPr>
          <w:rFonts w:hint="default" w:ascii="Times New Roman" w:hAnsi="Times New Roman" w:eastAsia="宋体" w:cs="Times New Roman"/>
          <w:color w:val="auto"/>
          <w:spacing w:val="14"/>
          <w:highlight w:val="none"/>
        </w:rPr>
        <w:t xml:space="preserve">国</w:t>
      </w:r>
      <w:r>
        <w:rPr>
          <w:rFonts w:hint="default" w:ascii="Times New Roman" w:hAnsi="Times New Roman" w:eastAsia="宋体" w:cs="Times New Roman"/>
          <w:color w:val="auto"/>
          <w:spacing w:val="11"/>
          <w:highlight w:val="none"/>
        </w:rPr>
        <w:t xml:space="preserve">残</w:t>
      </w:r>
      <w:r>
        <w:rPr>
          <w:rFonts w:hint="default" w:ascii="Times New Roman" w:hAnsi="Times New Roman" w:eastAsia="宋体" w:cs="Times New Roman"/>
          <w:color w:val="auto"/>
          <w:spacing w:val="14"/>
          <w:highlight w:val="none"/>
        </w:rPr>
        <w:t xml:space="preserve">疾</w:t>
      </w:r>
      <w:r>
        <w:rPr>
          <w:rFonts w:hint="default" w:ascii="Times New Roman" w:hAnsi="Times New Roman" w:eastAsia="宋体" w:cs="Times New Roman"/>
          <w:color w:val="auto"/>
          <w:spacing w:val="11"/>
          <w:highlight w:val="none"/>
        </w:rPr>
        <w:t xml:space="preserve">人</w:t>
      </w:r>
      <w:r>
        <w:rPr>
          <w:rFonts w:hint="default" w:ascii="Times New Roman" w:hAnsi="Times New Roman" w:eastAsia="宋体" w:cs="Times New Roman"/>
          <w:color w:val="auto"/>
          <w:spacing w:val="14"/>
          <w:highlight w:val="none"/>
        </w:rPr>
        <w:t xml:space="preserve">联</w:t>
      </w:r>
      <w:r>
        <w:rPr>
          <w:rFonts w:hint="default" w:ascii="Times New Roman" w:hAnsi="Times New Roman" w:eastAsia="宋体" w:cs="Times New Roman"/>
          <w:color w:val="auto"/>
          <w:spacing w:val="11"/>
          <w:highlight w:val="none"/>
        </w:rPr>
        <w:t xml:space="preserve">合</w:t>
      </w:r>
      <w:r>
        <w:rPr>
          <w:rFonts w:hint="default" w:ascii="Times New Roman" w:hAnsi="Times New Roman" w:eastAsia="宋体" w:cs="Times New Roman"/>
          <w:color w:val="auto"/>
          <w:spacing w:val="14"/>
          <w:highlight w:val="none"/>
        </w:rPr>
        <w:t xml:space="preserve">会</w:t>
      </w:r>
      <w:r>
        <w:rPr>
          <w:rFonts w:hint="default" w:ascii="Times New Roman" w:hAnsi="Times New Roman" w:eastAsia="宋体" w:cs="Times New Roman"/>
          <w:color w:val="auto"/>
          <w:spacing w:val="11"/>
          <w:highlight w:val="none"/>
        </w:rPr>
        <w:t xml:space="preserve">关</w:t>
      </w:r>
      <w:r>
        <w:rPr>
          <w:rFonts w:hint="default" w:ascii="Times New Roman" w:hAnsi="Times New Roman" w:eastAsia="宋体" w:cs="Times New Roman"/>
          <w:color w:val="auto"/>
          <w:spacing w:val="14"/>
          <w:highlight w:val="none"/>
        </w:rPr>
        <w:t xml:space="preserve">于</w:t>
      </w:r>
      <w:r>
        <w:rPr>
          <w:rFonts w:hint="default" w:ascii="Times New Roman" w:hAnsi="Times New Roman" w:eastAsia="宋体" w:cs="Times New Roman"/>
          <w:color w:val="auto"/>
          <w:spacing w:val="11"/>
          <w:highlight w:val="none"/>
        </w:rPr>
        <w:t xml:space="preserve">促</w:t>
      </w:r>
      <w:r>
        <w:rPr>
          <w:rFonts w:hint="default" w:ascii="Times New Roman" w:hAnsi="Times New Roman" w:eastAsia="宋体" w:cs="Times New Roman"/>
          <w:color w:val="auto"/>
          <w:spacing w:val="14"/>
          <w:highlight w:val="none"/>
        </w:rPr>
        <w:t xml:space="preserve">进</w:t>
      </w:r>
      <w:r>
        <w:rPr>
          <w:rFonts w:hint="default" w:ascii="Times New Roman" w:hAnsi="Times New Roman" w:eastAsia="宋体" w:cs="Times New Roman"/>
          <w:color w:val="auto"/>
          <w:spacing w:val="11"/>
          <w:highlight w:val="none"/>
        </w:rPr>
        <w:t xml:space="preserve">残</w:t>
      </w:r>
      <w:r>
        <w:rPr>
          <w:rFonts w:hint="default" w:ascii="Times New Roman" w:hAnsi="Times New Roman" w:eastAsia="宋体" w:cs="Times New Roman"/>
          <w:color w:val="auto"/>
          <w:spacing w:val="14"/>
          <w:highlight w:val="none"/>
        </w:rPr>
        <w:t xml:space="preserve">疾</w:t>
      </w:r>
      <w:r>
        <w:rPr>
          <w:rFonts w:hint="default" w:ascii="Times New Roman" w:hAnsi="Times New Roman" w:eastAsia="宋体" w:cs="Times New Roman"/>
          <w:color w:val="auto"/>
          <w:spacing w:val="11"/>
          <w:highlight w:val="none"/>
        </w:rPr>
        <w:t xml:space="preserve">人</w:t>
      </w:r>
      <w:r>
        <w:rPr>
          <w:rFonts w:hint="default" w:ascii="Times New Roman" w:hAnsi="Times New Roman" w:eastAsia="宋体" w:cs="Times New Roman"/>
          <w:color w:val="auto"/>
          <w:spacing w:val="14"/>
          <w:highlight w:val="none"/>
        </w:rPr>
        <w:t xml:space="preserve">就</w:t>
      </w:r>
      <w:r>
        <w:rPr>
          <w:rFonts w:hint="default" w:ascii="Times New Roman" w:hAnsi="Times New Roman" w:eastAsia="宋体" w:cs="Times New Roman"/>
          <w:color w:val="auto"/>
          <w:spacing w:val="11"/>
          <w:highlight w:val="none"/>
        </w:rPr>
        <w:t xml:space="preserve">业</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spacing w:val="11"/>
          <w:highlight w:val="none"/>
        </w:rPr>
        <w:t xml:space="preserve">府</w:t>
      </w:r>
      <w:r>
        <w:rPr>
          <w:rFonts w:hint="default" w:ascii="Times New Roman" w:hAnsi="Times New Roman" w:eastAsia="宋体" w:cs="Times New Roman"/>
          <w:color w:val="auto"/>
          <w:spacing w:val="14"/>
          <w:highlight w:val="none"/>
        </w:rPr>
        <w:t xml:space="preserve">采</w:t>
      </w:r>
      <w:r>
        <w:rPr>
          <w:rFonts w:hint="default" w:ascii="Times New Roman" w:hAnsi="Times New Roman" w:eastAsia="宋体" w:cs="Times New Roman"/>
          <w:color w:val="auto"/>
          <w:spacing w:val="11"/>
          <w:highlight w:val="none"/>
        </w:rPr>
        <w:t xml:space="preserve">购</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策</w:t>
      </w:r>
      <w:r>
        <w:rPr>
          <w:rFonts w:hint="default" w:ascii="Times New Roman" w:hAnsi="Times New Roman" w:eastAsia="宋体" w:cs="Times New Roman"/>
          <w:color w:val="auto"/>
          <w:spacing w:val="14"/>
          <w:highlight w:val="none"/>
        </w:rPr>
        <w:t xml:space="preserve">的通知》（财</w:t>
      </w:r>
      <w:r>
        <w:rPr>
          <w:rFonts w:hint="default" w:ascii="Times New Roman" w:hAnsi="Times New Roman" w:eastAsia="宋体" w:cs="Times New Roman"/>
          <w:color w:val="auto"/>
          <w:spacing w:val="16"/>
          <w:highlight w:val="none"/>
        </w:rPr>
        <w:t xml:space="preserve">库</w:t>
      </w:r>
      <w:r>
        <w:rPr>
          <w:rFonts w:hint="default" w:ascii="Times New Roman" w:hAnsi="Times New Roman" w:eastAsia="宋体" w:cs="Times New Roman"/>
          <w:color w:val="auto"/>
          <w:spacing w:val="14"/>
          <w:highlight w:val="none"/>
        </w:rPr>
        <w:t xml:space="preserve">〔</w:t>
      </w:r>
      <w:r>
        <w:rPr>
          <w:rFonts w:hint="default" w:ascii="Times New Roman" w:hAnsi="Times New Roman" w:eastAsia="宋体" w:cs="Times New Roman"/>
          <w:color w:val="auto"/>
          <w:spacing w:val="5"/>
          <w:highlight w:val="none"/>
        </w:rPr>
        <w:t xml:space="preserve">2017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pacing w:val="26"/>
          <w:highlight w:val="none"/>
        </w:rPr>
        <w:t xml:space="preserve"> </w:t>
      </w:r>
      <w:r>
        <w:rPr>
          <w:rFonts w:hint="default" w:ascii="Times New Roman" w:hAnsi="Times New Roman" w:eastAsia="宋体" w:cs="Times New Roman"/>
          <w:color w:val="auto"/>
          <w:spacing w:val="2"/>
          <w:highlight w:val="none"/>
        </w:rPr>
        <w:t xml:space="preserve">141</w:t>
      </w:r>
      <w:r>
        <w:rPr>
          <w:rFonts w:hint="default" w:ascii="Times New Roman" w:hAnsi="Times New Roman" w:eastAsia="宋体" w:cs="Times New Roman"/>
          <w:color w:val="auto"/>
          <w:spacing w:val="12"/>
          <w:highlight w:val="none"/>
        </w:rPr>
        <w:t xml:space="preserve"> </w:t>
      </w:r>
      <w:r>
        <w:rPr>
          <w:rFonts w:hint="default" w:ascii="Times New Roman" w:hAnsi="Times New Roman" w:eastAsia="宋体" w:cs="Times New Roman"/>
          <w:color w:val="auto"/>
          <w:spacing w:val="14"/>
          <w:highlight w:val="none"/>
        </w:rPr>
        <w:t xml:space="preserve">号）的规定，</w:t>
      </w:r>
      <w:r>
        <w:rPr>
          <w:rFonts w:hint="default" w:ascii="Times New Roman" w:hAnsi="Times New Roman" w:eastAsia="宋体" w:cs="Times New Roman"/>
          <w:color w:val="auto"/>
          <w:spacing w:val="16"/>
          <w:highlight w:val="none"/>
        </w:rPr>
        <w:t xml:space="preserve">本</w:t>
      </w:r>
      <w:r>
        <w:rPr>
          <w:rFonts w:hint="default" w:ascii="Times New Roman" w:hAnsi="Times New Roman" w:eastAsia="宋体" w:cs="Times New Roman"/>
          <w:color w:val="auto"/>
          <w:spacing w:val="14"/>
          <w:highlight w:val="none"/>
        </w:rPr>
        <w:t xml:space="preserve">单位</w:t>
      </w:r>
      <w:r>
        <w:rPr>
          <w:rFonts w:hint="default" w:ascii="Times New Roman" w:hAnsi="Times New Roman" w:eastAsia="宋体" w:cs="Times New Roman"/>
          <w:color w:val="auto"/>
          <w:highlight w:val="none"/>
        </w:rPr>
        <w:t xml:space="preserve">为      </w:t>
      </w:r>
      <w:r>
        <w:rPr>
          <w:rFonts w:hint="default" w:ascii="Times New Roman" w:hAnsi="Times New Roman" w:eastAsia="宋体" w:cs="Times New Roman"/>
          <w:color w:val="auto"/>
          <w:spacing w:val="102"/>
          <w:highlight w:val="none"/>
        </w:rPr>
        <w:t xml:space="preserve"> </w:t>
      </w:r>
      <w:r>
        <w:rPr>
          <w:rFonts w:hint="default" w:ascii="Times New Roman" w:hAnsi="Times New Roman" w:eastAsia="宋体" w:cs="Times New Roman"/>
          <w:color w:val="auto"/>
          <w:spacing w:val="14"/>
          <w:highlight w:val="none"/>
        </w:rPr>
        <w:t xml:space="preserve">（符合</w:t>
      </w:r>
      <w:r>
        <w:rPr>
          <w:rFonts w:hint="default" w:ascii="Times New Roman" w:hAnsi="Times New Roman" w:eastAsia="宋体" w:cs="Times New Roman"/>
          <w:color w:val="auto"/>
          <w:spacing w:val="6"/>
          <w:highlight w:val="none"/>
        </w:rPr>
        <w:t xml:space="preserve">/</w:t>
      </w:r>
      <w:r>
        <w:rPr>
          <w:rFonts w:hint="default" w:ascii="Times New Roman" w:hAnsi="Times New Roman" w:eastAsia="宋体" w:cs="Times New Roman"/>
          <w:color w:val="auto"/>
          <w:spacing w:val="14"/>
          <w:highlight w:val="none"/>
        </w:rPr>
        <w:t xml:space="preserve">不符合</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spacing w:val="47"/>
          <w:highlight w:val="none"/>
        </w:rPr>
        <w:t xml:space="preserve"> </w:t>
      </w:r>
      <w:r>
        <w:rPr>
          <w:rFonts w:hint="default" w:ascii="Times New Roman" w:hAnsi="Times New Roman" w:eastAsia="宋体" w:cs="Times New Roman"/>
          <w:color w:val="auto"/>
          <w:spacing w:val="14"/>
          <w:highlight w:val="none"/>
        </w:rPr>
        <w:t xml:space="preserve">条件的残疾</w:t>
      </w:r>
      <w:r>
        <w:rPr>
          <w:rFonts w:hint="default" w:ascii="Times New Roman" w:hAnsi="Times New Roman" w:eastAsia="宋体" w:cs="Times New Roman"/>
          <w:color w:val="auto"/>
          <w:highlight w:val="none"/>
        </w:rPr>
        <w:t xml:space="preserve">人</w:t>
      </w:r>
      <w:r>
        <w:rPr>
          <w:rFonts w:hint="default" w:ascii="Times New Roman" w:hAnsi="Times New Roman" w:eastAsia="宋体" w:cs="Times New Roman"/>
          <w:color w:val="auto"/>
          <w:spacing w:val="11"/>
          <w:highlight w:val="none"/>
        </w:rPr>
        <w:t xml:space="preserve">福</w:t>
      </w:r>
      <w:r>
        <w:rPr>
          <w:rFonts w:hint="default" w:ascii="Times New Roman" w:hAnsi="Times New Roman" w:eastAsia="宋体" w:cs="Times New Roman"/>
          <w:color w:val="auto"/>
          <w:spacing w:val="14"/>
          <w:highlight w:val="none"/>
        </w:rPr>
        <w:t xml:space="preserve">利</w:t>
      </w:r>
      <w:r>
        <w:rPr>
          <w:rFonts w:hint="default" w:ascii="Times New Roman" w:hAnsi="Times New Roman" w:eastAsia="宋体" w:cs="Times New Roman"/>
          <w:color w:val="auto"/>
          <w:spacing w:val="11"/>
          <w:highlight w:val="none"/>
        </w:rPr>
        <w:t xml:space="preserve">性</w:t>
      </w:r>
      <w:r>
        <w:rPr>
          <w:rFonts w:hint="default" w:ascii="Times New Roman" w:hAnsi="Times New Roman" w:eastAsia="宋体" w:cs="Times New Roman"/>
          <w:color w:val="auto"/>
          <w:spacing w:val="14"/>
          <w:highlight w:val="none"/>
        </w:rPr>
        <w:t xml:space="preserve">单位</w:t>
      </w:r>
      <w:r>
        <w:rPr>
          <w:rFonts w:hint="default" w:ascii="Times New Roman" w:hAnsi="Times New Roman" w:eastAsia="宋体" w:cs="Times New Roman"/>
          <w:color w:val="auto"/>
          <w:spacing w:val="-27"/>
          <w:highlight w:val="none"/>
        </w:rPr>
        <w:t xml:space="preserve">，</w:t>
      </w:r>
      <w:r>
        <w:rPr>
          <w:rFonts w:hint="default" w:ascii="Times New Roman" w:hAnsi="Times New Roman" w:eastAsia="宋体" w:cs="Times New Roman"/>
          <w:color w:val="auto"/>
          <w:spacing w:val="11"/>
          <w:highlight w:val="none"/>
        </w:rPr>
        <w:t xml:space="preserve">且</w:t>
      </w:r>
      <w:r>
        <w:rPr>
          <w:rFonts w:hint="default" w:ascii="Times New Roman" w:hAnsi="Times New Roman" w:eastAsia="宋体" w:cs="Times New Roman"/>
          <w:color w:val="auto"/>
          <w:spacing w:val="14"/>
          <w:highlight w:val="none"/>
        </w:rPr>
        <w:t xml:space="preserve">本</w:t>
      </w:r>
      <w:r>
        <w:rPr>
          <w:rFonts w:hint="default" w:ascii="Times New Roman" w:hAnsi="Times New Roman" w:eastAsia="宋体" w:cs="Times New Roman"/>
          <w:color w:val="auto"/>
          <w:spacing w:val="11"/>
          <w:highlight w:val="none"/>
        </w:rPr>
        <w:t xml:space="preserve">单</w:t>
      </w:r>
      <w:r>
        <w:rPr>
          <w:rFonts w:hint="default" w:ascii="Times New Roman" w:hAnsi="Times New Roman" w:eastAsia="宋体" w:cs="Times New Roman"/>
          <w:color w:val="auto"/>
          <w:spacing w:val="14"/>
          <w:highlight w:val="none"/>
        </w:rPr>
        <w:t xml:space="preserve">位</w:t>
      </w:r>
      <w:r>
        <w:rPr>
          <w:rFonts w:hint="default" w:ascii="Times New Roman" w:hAnsi="Times New Roman" w:eastAsia="宋体" w:cs="Times New Roman"/>
          <w:color w:val="auto"/>
          <w:spacing w:val="11"/>
          <w:highlight w:val="none"/>
        </w:rPr>
        <w:t xml:space="preserve">参</w:t>
      </w:r>
      <w:r>
        <w:rPr>
          <w:rFonts w:hint="default" w:ascii="Times New Roman" w:hAnsi="Times New Roman" w:eastAsia="宋体" w:cs="Times New Roman"/>
          <w:color w:val="auto"/>
          <w:spacing w:val="14"/>
          <w:highlight w:val="none"/>
        </w:rPr>
        <w:t xml:space="preserve">加</w:t>
      </w:r>
      <w:r>
        <w:rPr>
          <w:rFonts w:hint="default" w:ascii="Times New Roman" w:hAnsi="Times New Roman" w:eastAsia="宋体" w:cs="Times New Roman"/>
          <w:color w:val="auto"/>
          <w:spacing w:val="6"/>
          <w:highlight w:val="none"/>
        </w:rPr>
        <w:t xml:space="preserve">______</w:t>
      </w:r>
      <w:r>
        <w:rPr>
          <w:rFonts w:hint="default" w:ascii="Times New Roman" w:hAnsi="Times New Roman" w:eastAsia="宋体" w:cs="Times New Roman"/>
          <w:color w:val="auto"/>
          <w:spacing w:val="11"/>
          <w:highlight w:val="none"/>
        </w:rPr>
        <w:t xml:space="preserve">单</w:t>
      </w:r>
      <w:r>
        <w:rPr>
          <w:rFonts w:hint="default" w:ascii="Times New Roman" w:hAnsi="Times New Roman" w:eastAsia="宋体" w:cs="Times New Roman"/>
          <w:color w:val="auto"/>
          <w:spacing w:val="14"/>
          <w:highlight w:val="none"/>
        </w:rPr>
        <w:t xml:space="preserve">位</w:t>
      </w:r>
      <w:r>
        <w:rPr>
          <w:rFonts w:hint="default" w:ascii="Times New Roman" w:hAnsi="Times New Roman" w:eastAsia="宋体" w:cs="Times New Roman"/>
          <w:color w:val="auto"/>
          <w:highlight w:val="none"/>
        </w:rPr>
        <w:t xml:space="preserve">的</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7"/>
        <w:ind w:left="667"/>
        <w:spacing w:line="269"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本单位对上述声明的真实性负责。如有虚假，将依法承担相应责任。</w:t>
      </w:r>
      <w:r/>
    </w:p>
    <w:p>
      <w:pPr>
        <w:pStyle w:val="817"/>
        <w:spacing w:before="8"/>
        <w:rPr>
          <w:rFonts w:hint="default" w:ascii="Times New Roman" w:hAnsi="Times New Roman" w:eastAsia="宋体" w:cs="Times New Roman"/>
          <w:color w:val="auto"/>
          <w:sz w:val="27"/>
          <w:highlight w:val="none"/>
        </w:rPr>
      </w:pPr>
      <w:r>
        <w:rPr>
          <w:rFonts w:hint="default" w:ascii="Times New Roman" w:hAnsi="Times New Roman" w:eastAsia="宋体" w:cs="Times New Roman"/>
          <w:color w:val="auto"/>
          <w:sz w:val="27"/>
          <w:highlight w:val="none"/>
        </w:rPr>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17"/>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03"/>
        <w:spacing w:before="42"/>
        <w:rPr>
          <w:rFonts w:hint="default" w:ascii="Times New Roman" w:hAnsi="Times New Roman" w:eastAsia="宋体" w:cs="Times New Roman"/>
          <w:color w:val="auto"/>
          <w:highlight w:val="none"/>
          <w:lang w:val="en-US"/>
        </w:rPr>
        <w:outlineLvl w:val="0"/>
      </w:pPr>
      <w:r/>
      <w:bookmarkStart w:id="287" w:name="_Toc14883"/>
      <w:r>
        <w:rPr>
          <w:rFonts w:hint="eastAsia" w:ascii="Times New Roman" w:hAnsi="Times New Roman" w:eastAsia="宋体" w:cs="Times New Roman"/>
          <w:color w:val="auto"/>
          <w:highlight w:val="none"/>
        </w:rPr>
        <w:t xml:space="preserve">十</w:t>
      </w:r>
      <w:r>
        <w:rPr>
          <w:rFonts w:hint="eastAsia" w:ascii="Times New Roman" w:hAnsi="Times New Roman" w:eastAsia="宋体" w:cs="Times New Roman"/>
          <w:color w:val="auto"/>
          <w:highlight w:val="none"/>
          <w:lang w:val="en-US" w:eastAsia="zh-CN"/>
        </w:rPr>
        <w:t xml:space="preserve">五</w:t>
      </w:r>
      <w:r>
        <w:rPr>
          <w:rFonts w:hint="eastAsia" w:ascii="Times New Roman" w:hAnsi="Times New Roman" w:eastAsia="宋体" w:cs="Times New Roman"/>
          <w:color w:val="auto"/>
          <w:highlight w:val="none"/>
        </w:rPr>
        <w:t xml:space="preserve">、</w:t>
      </w:r>
      <w:bookmarkEnd w:id="287"/>
      <w:r>
        <w:rPr>
          <w:rFonts w:hint="default" w:ascii="Times New Roman" w:hAnsi="Times New Roman" w:eastAsia="宋体" w:cs="Times New Roman"/>
          <w:color w:val="auto"/>
          <w:highlight w:val="none"/>
        </w:rPr>
        <w:t xml:space="preserve">政府采购信用承诺</w:t>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36"/>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tbl>
      <w:tblPr>
        <w:tblStyle w:val="812"/>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widowControl/>
              <w:rPr>
                <w:rFonts w:hint="default" w:ascii="Times New Roman" w:hAnsi="Times New Roman" w:eastAsia="宋体" w:cs="Times New Roman"/>
                <w:color w:val="auto"/>
                <w:sz w:val="36"/>
                <w:szCs w:val="40"/>
                <w:highlight w:val="none"/>
              </w:rPr>
            </w:pPr>
            <w:r>
              <w:rPr>
                <w:rFonts w:hint="eastAsia"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b/>
                <w:bCs/>
                <w:color w:val="auto"/>
                <w:sz w:val="36"/>
                <w:szCs w:val="36"/>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1027"/>
              <w:rPr>
                <w:rFonts w:hint="default" w:ascii="Times New Roman" w:hAnsi="Times New Roman" w:eastAsia="宋体" w:cs="Times New Roman"/>
                <w:color w:val="auto"/>
                <w:sz w:val="20"/>
                <w:szCs w:val="21"/>
                <w:highlight w:val="none"/>
              </w:rPr>
            </w:pPr>
            <w:r>
              <w:rPr>
                <w:rFonts w:hint="default" w:ascii="Times New Roman" w:hAnsi="Times New Roman" w:eastAsia="宋体" w:cs="Times New Roman"/>
                <w:b/>
                <w:bCs/>
                <w:color w:val="auto"/>
                <w:szCs w:val="30"/>
                <w:highlight w:val="none"/>
              </w:rPr>
              <w:t xml:space="preserve">                                       </w:t>
            </w:r>
            <w:r>
              <w:rPr>
                <w:rFonts w:hint="default" w:ascii="Times New Roman" w:hAnsi="Times New Roman" w:eastAsia="宋体" w:cs="Times New Roman"/>
                <w:b/>
                <w:bCs/>
                <w:color w:val="auto"/>
                <w:szCs w:val="21"/>
                <w:highlight w:val="none"/>
              </w:rPr>
              <w:t xml:space="preserve">   </w:t>
            </w:r>
            <w:r>
              <w:rPr>
                <w:rFonts w:hint="default" w:ascii="Times New Roman" w:hAnsi="Times New Roman" w:eastAsia="宋体" w:cs="Times New Roman"/>
                <w:color w:val="auto"/>
                <w:szCs w:val="21"/>
                <w:highlight w:val="none"/>
              </w:rPr>
              <w:t xml:space="preserve">  20  年  月  日</w:t>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spacing w:line="400" w:lineRule="exact"/>
              <w:widowControl/>
              <w:rPr>
                <w:rFonts w:hint="default" w:ascii="Times New Roman" w:hAnsi="Times New Roman" w:eastAsia="宋体" w:cs="Times New Roman"/>
                <w:b/>
                <w:color w:val="auto"/>
                <w:highlight w:val="none"/>
                <w:lang w:bidi="ar"/>
              </w:rPr>
            </w:pPr>
            <w:r>
              <w:rPr>
                <w:rFonts w:hint="default" w:ascii="Times New Roman" w:hAnsi="Times New Roman" w:eastAsia="宋体" w:cs="Times New Roman"/>
                <w:b/>
                <w:color w:val="auto"/>
                <w:highlight w:val="none"/>
                <w:lang w:bidi="ar"/>
              </w:rPr>
              <w:t xml:space="preserve">信用承诺：</w:t>
            </w:r>
            <w:r/>
          </w:p>
          <w:p>
            <w:pPr>
              <w:ind w:firstLine="220"/>
              <w:spacing w:line="400" w:lineRule="exac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default" w:ascii="Times New Roman" w:hAnsi="Times New Roman" w:eastAsia="宋体" w:cs="Times New Roman"/>
                <w:color w:val="auto"/>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20"/>
              <w:spacing w:line="400" w:lineRule="exact"/>
              <w:widowControl/>
              <w:rPr>
                <w:rFonts w:hint="default" w:ascii="Times New Roman" w:hAnsi="Times New Roman" w:eastAsia="宋体" w:cs="Times New Roman"/>
                <w:color w:val="auto"/>
                <w:highlight w:val="none"/>
                <w:lang w:bidi="ar"/>
              </w:rPr>
            </w:pPr>
            <w:r>
              <w:rPr>
                <w:rFonts w:hint="default" w:ascii="Times New Roman" w:hAnsi="Times New Roman" w:eastAsia="宋体" w:cs="Times New Roman"/>
                <w:color w:val="auto"/>
                <w:highlight w:val="none"/>
                <w:lang w:bidi="ar"/>
              </w:rPr>
              <w:t xml:space="preserve">                      供应商名称（盖章）：</w:t>
            </w:r>
            <w:r/>
          </w:p>
          <w:p>
            <w:pPr>
              <w:ind w:firstLine="220"/>
              <w:spacing w:line="400" w:lineRule="exact"/>
              <w:widowControl/>
              <w:rPr>
                <w:rFonts w:hint="default" w:ascii="Times New Roman" w:hAnsi="Times New Roman" w:eastAsia="宋体" w:cs="Times New Roman"/>
                <w:color w:val="auto"/>
                <w:highlight w:val="none"/>
                <w:lang w:bidi="ar"/>
              </w:rPr>
            </w:pPr>
            <w:r>
              <w:rPr>
                <w:rFonts w:hint="default" w:ascii="Times New Roman" w:hAnsi="Times New Roman" w:eastAsia="宋体" w:cs="Times New Roman"/>
                <w:color w:val="auto"/>
                <w:highlight w:val="none"/>
                <w:lang w:bidi="ar"/>
              </w:rPr>
              <w:t xml:space="preserve">                      法定代表人（签字）：</w:t>
            </w:r>
            <w:r/>
          </w:p>
          <w:p>
            <w:pPr>
              <w:ind w:firstLine="220"/>
              <w:spacing w:line="400" w:lineRule="exac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bidi="ar"/>
              </w:rPr>
              <w:t xml:space="preserve">                      二〇    年  月    日</w:t>
            </w:r>
            <w:r/>
          </w:p>
        </w:tc>
      </w:tr>
    </w:tbl>
    <w:p>
      <w:pPr>
        <w:ind w:firstLine="442"/>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 xml:space="preserve">上表为样式，自填无效，须替换成在线打印的带有【二维码】的信用承诺书，按要求盖章签字。</w:t>
      </w:r>
      <w:r/>
    </w:p>
    <w:p>
      <w:pPr>
        <w:pStyle w:val="839"/>
        <w:rPr>
          <w:rFonts w:hint="default" w:ascii="Times New Roman" w:hAnsi="Times New Roman" w:eastAsia="宋体" w:cs="Times New Roman"/>
          <w:b/>
          <w:color w:val="auto"/>
          <w:sz w:val="22"/>
          <w:szCs w:val="21"/>
          <w:highlight w:val="none"/>
          <w:lang w:val="en-US"/>
        </w:rPr>
      </w:pPr>
      <w:r>
        <w:rPr>
          <w:rFonts w:hint="default" w:ascii="Times New Roman" w:hAnsi="Times New Roman" w:eastAsia="宋体" w:cs="Times New Roman"/>
          <w:b/>
          <w:color w:val="auto"/>
          <w:sz w:val="22"/>
          <w:szCs w:val="21"/>
          <w:highlight w:val="none"/>
          <w:lang w:val="en-US"/>
        </w:rPr>
      </w:r>
      <w:r/>
    </w:p>
    <w:p>
      <w:pPr>
        <w:rPr>
          <w:rFonts w:hint="default" w:ascii="Times New Roman" w:hAnsi="Times New Roman" w:eastAsia="宋体" w:cs="Times New Roman"/>
          <w:color w:val="auto"/>
          <w:highlight w:val="none"/>
          <w:lang w:val="en-US"/>
        </w:rPr>
      </w:pPr>
      <w:r/>
      <w:bookmarkStart w:id="288" w:name="_bookmark30"/>
      <w:r/>
      <w:bookmarkEnd w:id="288"/>
      <w:r/>
      <w:bookmarkStart w:id="289" w:name="十七、投标保证金退还账户信息"/>
      <w:r/>
      <w:bookmarkEnd w:id="289"/>
      <w:r/>
      <w:r/>
    </w:p>
    <w:sectPr>
      <w:footnotePr/>
      <w:endnotePr/>
      <w:type w:val="nextPage"/>
      <w:pgSz w:w="11900" w:h="16840" w:orient="portrait"/>
      <w:pgMar w:top="1429" w:right="1417" w:bottom="1066" w:left="1417" w:header="765" w:footer="72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Segoe UI">
    <w:panose1 w:val="020B0502040204020203"/>
  </w:font>
  <w:font w:name="PMingLiU">
    <w:panose1 w:val="02020500000000000000"/>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p>
    <w:pPr>
      <w:pStyle w:val="817"/>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872" w:hanging="212"/>
        <w:jc w:val="left"/>
      </w:pPr>
      <w:rPr>
        <w:rFonts w:hint="default"/>
        <w:spacing w:val="1"/>
        <w:lang w:val="zh-CN" w:eastAsia="zh-CN" w:bidi="zh-CN"/>
      </w:rPr>
    </w:lvl>
    <w:lvl w:ilvl="1">
      <w:start w:val="0"/>
      <w:numFmt w:val="bullet"/>
      <w:isLgl w:val="false"/>
      <w:suff w:val="tab"/>
      <w:lvlText w:val="•"/>
      <w:lvlJc w:val="left"/>
      <w:pPr>
        <w:ind w:left="1768" w:hanging="212"/>
      </w:pPr>
      <w:rPr>
        <w:rFonts w:hint="default"/>
        <w:lang w:val="zh-CN" w:eastAsia="zh-CN" w:bidi="zh-CN"/>
      </w:rPr>
    </w:lvl>
    <w:lvl w:ilvl="2">
      <w:start w:val="0"/>
      <w:numFmt w:val="bullet"/>
      <w:isLgl w:val="false"/>
      <w:suff w:val="tab"/>
      <w:lvlText w:val="•"/>
      <w:lvlJc w:val="left"/>
      <w:pPr>
        <w:ind w:left="2677" w:hanging="212"/>
      </w:pPr>
      <w:rPr>
        <w:rFonts w:hint="default"/>
        <w:lang w:val="zh-CN" w:eastAsia="zh-CN" w:bidi="zh-CN"/>
      </w:rPr>
    </w:lvl>
    <w:lvl w:ilvl="3">
      <w:start w:val="0"/>
      <w:numFmt w:val="bullet"/>
      <w:isLgl w:val="false"/>
      <w:suff w:val="tab"/>
      <w:lvlText w:val="•"/>
      <w:lvlJc w:val="left"/>
      <w:pPr>
        <w:ind w:left="3585" w:hanging="212"/>
      </w:pPr>
      <w:rPr>
        <w:rFonts w:hint="default"/>
        <w:lang w:val="zh-CN" w:eastAsia="zh-CN" w:bidi="zh-CN"/>
      </w:rPr>
    </w:lvl>
    <w:lvl w:ilvl="4">
      <w:start w:val="0"/>
      <w:numFmt w:val="bullet"/>
      <w:isLgl w:val="false"/>
      <w:suff w:val="tab"/>
      <w:lvlText w:val="•"/>
      <w:lvlJc w:val="left"/>
      <w:pPr>
        <w:ind w:left="4494" w:hanging="212"/>
      </w:pPr>
      <w:rPr>
        <w:rFonts w:hint="default"/>
        <w:lang w:val="zh-CN" w:eastAsia="zh-CN" w:bidi="zh-CN"/>
      </w:rPr>
    </w:lvl>
    <w:lvl w:ilvl="5">
      <w:start w:val="0"/>
      <w:numFmt w:val="bullet"/>
      <w:isLgl w:val="false"/>
      <w:suff w:val="tab"/>
      <w:lvlText w:val="•"/>
      <w:lvlJc w:val="left"/>
      <w:pPr>
        <w:ind w:left="5403" w:hanging="212"/>
      </w:pPr>
      <w:rPr>
        <w:rFonts w:hint="default"/>
        <w:lang w:val="zh-CN" w:eastAsia="zh-CN" w:bidi="zh-CN"/>
      </w:rPr>
    </w:lvl>
    <w:lvl w:ilvl="6">
      <w:start w:val="0"/>
      <w:numFmt w:val="bullet"/>
      <w:isLgl w:val="false"/>
      <w:suff w:val="tab"/>
      <w:lvlText w:val="•"/>
      <w:lvlJc w:val="left"/>
      <w:pPr>
        <w:ind w:left="6311" w:hanging="212"/>
      </w:pPr>
      <w:rPr>
        <w:rFonts w:hint="default"/>
        <w:lang w:val="zh-CN" w:eastAsia="zh-CN" w:bidi="zh-CN"/>
      </w:rPr>
    </w:lvl>
    <w:lvl w:ilvl="7">
      <w:start w:val="0"/>
      <w:numFmt w:val="bullet"/>
      <w:isLgl w:val="false"/>
      <w:suff w:val="tab"/>
      <w:lvlText w:val="•"/>
      <w:lvlJc w:val="left"/>
      <w:pPr>
        <w:ind w:left="7220" w:hanging="212"/>
      </w:pPr>
      <w:rPr>
        <w:rFonts w:hint="default"/>
        <w:lang w:val="zh-CN" w:eastAsia="zh-CN" w:bidi="zh-CN"/>
      </w:rPr>
    </w:lvl>
    <w:lvl w:ilvl="8">
      <w:start w:val="0"/>
      <w:numFmt w:val="bullet"/>
      <w:isLgl w:val="false"/>
      <w:suff w:val="tab"/>
      <w:lvlText w:val="•"/>
      <w:lvlJc w:val="left"/>
      <w:pPr>
        <w:ind w:left="8128" w:hanging="212"/>
      </w:pPr>
      <w:rPr>
        <w:rFonts w:hint="default"/>
        <w:lang w:val="zh-CN" w:eastAsia="zh-CN" w:bidi="zh-CN"/>
      </w:rPr>
    </w:lvl>
  </w:abstractNum>
  <w:abstractNum w:abstractNumId="3">
    <w:multiLevelType w:val="hybridMultilevel"/>
    <w:lvl w:ilvl="0">
      <w:start w:val="1"/>
      <w:numFmt w:val="bullet"/>
      <w:pStyle w:val="83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1"/>
    <w:qFormat/>
    <w:pPr>
      <w:widowControl w:val="off"/>
    </w:pPr>
    <w:rPr>
      <w:rFonts w:hint="default" w:ascii="宋体" w:hAnsi="宋体" w:eastAsia="宋体" w:cs="宋体"/>
      <w:sz w:val="22"/>
      <w:szCs w:val="22"/>
      <w:lang w:val="zh-CN" w:eastAsia="zh-CN" w:bidi="zh-CN"/>
    </w:rPr>
  </w:style>
  <w:style w:type="paragraph" w:styleId="802">
    <w:name w:val="Heading 1"/>
    <w:basedOn w:val="801"/>
    <w:next w:val="801"/>
    <w:link w:val="1019"/>
    <w:uiPriority w:val="1"/>
    <w:qFormat/>
    <w:pPr>
      <w:ind w:left="268" w:right="27"/>
      <w:jc w:val="center"/>
      <w:spacing w:before="28"/>
      <w:outlineLvl w:val="0"/>
    </w:pPr>
    <w:rPr>
      <w:rFonts w:ascii="黑体" w:hAnsi="黑体" w:eastAsia="黑体" w:cs="黑体"/>
      <w:sz w:val="30"/>
      <w:szCs w:val="30"/>
    </w:rPr>
  </w:style>
  <w:style w:type="paragraph" w:styleId="803">
    <w:name w:val="Heading 2"/>
    <w:basedOn w:val="801"/>
    <w:next w:val="801"/>
    <w:uiPriority w:val="1"/>
    <w:qFormat/>
    <w:pPr>
      <w:ind w:left="223"/>
      <w:outlineLvl w:val="1"/>
    </w:pPr>
    <w:rPr>
      <w:b/>
      <w:bCs/>
      <w:sz w:val="21"/>
      <w:szCs w:val="21"/>
    </w:rPr>
  </w:style>
  <w:style w:type="paragraph" w:styleId="804">
    <w:name w:val="Heading 3"/>
    <w:basedOn w:val="801"/>
    <w:next w:val="801"/>
    <w:uiPriority w:val="0"/>
    <w:semiHidden/>
    <w:unhideWhenUsed/>
    <w:qFormat/>
    <w:pPr>
      <w:keepLines/>
      <w:keepNext/>
      <w:spacing w:before="260" w:after="260" w:line="413" w:lineRule="auto"/>
      <w:outlineLvl w:val="2"/>
    </w:pPr>
    <w:rPr>
      <w:b/>
      <w:sz w:val="32"/>
    </w:rPr>
  </w:style>
  <w:style w:type="paragraph" w:styleId="805">
    <w:name w:val="Heading 4"/>
    <w:basedOn w:val="801"/>
    <w:next w:val="801"/>
    <w:uiPriority w:val="9"/>
    <w:qFormat/>
    <w:pPr>
      <w:keepLines/>
      <w:keepNext/>
      <w:spacing w:before="280" w:after="290" w:line="372" w:lineRule="auto"/>
      <w:outlineLvl w:val="3"/>
    </w:pPr>
    <w:rPr>
      <w:rFonts w:ascii="Arial" w:hAnsi="Arial" w:eastAsia="黑体"/>
      <w:b/>
      <w:sz w:val="28"/>
      <w:szCs w:val="20"/>
    </w:rPr>
  </w:style>
  <w:style w:type="paragraph" w:styleId="806">
    <w:name w:val="Heading 5"/>
    <w:basedOn w:val="801"/>
    <w:next w:val="801"/>
    <w:link w:val="862"/>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63"/>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65"/>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66"/>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Normal Indent"/>
    <w:basedOn w:val="801"/>
    <w:uiPriority w:val="0"/>
    <w:qFormat/>
    <w:pPr>
      <w:ind w:firstLine="420"/>
    </w:pPr>
    <w:rPr>
      <w:szCs w:val="21"/>
    </w:rPr>
  </w:style>
  <w:style w:type="paragraph" w:styleId="815">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annotation text"/>
    <w:basedOn w:val="801"/>
    <w:link w:val="1035"/>
    <w:uiPriority w:val="0"/>
    <w:qFormat/>
  </w:style>
  <w:style w:type="paragraph" w:styleId="817">
    <w:name w:val="Body Text"/>
    <w:basedOn w:val="801"/>
    <w:next w:val="818"/>
    <w:uiPriority w:val="1"/>
    <w:qFormat/>
    <w:rPr>
      <w:sz w:val="21"/>
      <w:szCs w:val="21"/>
    </w:rPr>
  </w:style>
  <w:style w:type="paragraph" w:styleId="818" w:customStyle="1">
    <w:name w:val="xl2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paragraph" w:styleId="819">
    <w:name w:val="Body Text Indent"/>
    <w:basedOn w:val="801"/>
    <w:next w:val="820"/>
    <w:uiPriority w:val="99"/>
    <w:qFormat/>
    <w:pPr>
      <w:ind w:left="420"/>
      <w:spacing w:after="120"/>
    </w:pPr>
    <w:rPr>
      <w:rFonts w:ascii="Times New Roman" w:hAnsi="Times New Roman"/>
      <w:sz w:val="24"/>
    </w:rPr>
  </w:style>
  <w:style w:type="paragraph" w:styleId="820">
    <w:name w:val="envelope return"/>
    <w:basedOn w:val="801"/>
    <w:uiPriority w:val="99"/>
    <w:unhideWhenUsed/>
    <w:qFormat/>
    <w:rPr>
      <w:rFonts w:ascii="Arial" w:hAnsi="Arial" w:cs="Arial"/>
    </w:rPr>
  </w:style>
  <w:style w:type="paragraph" w:styleId="821">
    <w:name w:val="index 4"/>
    <w:basedOn w:val="801"/>
    <w:next w:val="801"/>
    <w:uiPriority w:val="0"/>
    <w:semiHidden/>
    <w:qFormat/>
    <w:pPr>
      <w:ind w:left="1260"/>
    </w:pPr>
  </w:style>
  <w:style w:type="paragraph" w:styleId="822">
    <w:name w:val="toc 5"/>
    <w:basedOn w:val="801"/>
    <w:next w:val="801"/>
    <w:uiPriority w:val="39"/>
    <w:unhideWhenUsed/>
    <w:qFormat/>
    <w:pPr>
      <w:ind w:left="1134" w:right="0" w:firstLine="0"/>
      <w:spacing w:after="57"/>
    </w:pPr>
  </w:style>
  <w:style w:type="paragraph" w:styleId="823">
    <w:name w:val="toc 3"/>
    <w:basedOn w:val="801"/>
    <w:next w:val="801"/>
    <w:uiPriority w:val="39"/>
    <w:unhideWhenUsed/>
    <w:qFormat/>
    <w:pPr>
      <w:ind w:left="567" w:right="0" w:firstLine="0"/>
      <w:spacing w:after="57"/>
    </w:pPr>
  </w:style>
  <w:style w:type="paragraph" w:styleId="824">
    <w:name w:val="Plain Text"/>
    <w:basedOn w:val="801"/>
    <w:uiPriority w:val="0"/>
    <w:qFormat/>
    <w:rPr>
      <w:rFonts w:hAnsi="Courier New"/>
      <w:sz w:val="24"/>
    </w:rPr>
  </w:style>
  <w:style w:type="paragraph" w:styleId="825">
    <w:name w:val="toc 8"/>
    <w:basedOn w:val="801"/>
    <w:next w:val="801"/>
    <w:uiPriority w:val="39"/>
    <w:unhideWhenUsed/>
    <w:qFormat/>
    <w:pPr>
      <w:ind w:left="1984" w:right="0" w:firstLine="0"/>
      <w:spacing w:after="57"/>
    </w:pPr>
  </w:style>
  <w:style w:type="paragraph" w:styleId="826">
    <w:name w:val="Body Text Indent 2"/>
    <w:basedOn w:val="801"/>
    <w:next w:val="801"/>
    <w:uiPriority w:val="0"/>
    <w:qFormat/>
    <w:pPr>
      <w:ind w:left="630" w:firstLine="645"/>
    </w:pPr>
    <w:rPr>
      <w:rFonts w:ascii="Arial" w:hAnsi="Arial" w:eastAsia="仿宋_GB2312"/>
      <w:sz w:val="32"/>
      <w:szCs w:val="20"/>
    </w:rPr>
  </w:style>
  <w:style w:type="paragraph" w:styleId="827">
    <w:name w:val="endnote text"/>
    <w:basedOn w:val="801"/>
    <w:link w:val="1003"/>
    <w:uiPriority w:val="99"/>
    <w:semiHidden/>
    <w:unhideWhenUsed/>
    <w:qFormat/>
    <w:pPr>
      <w:spacing w:after="0" w:line="240" w:lineRule="auto"/>
    </w:pPr>
    <w:rPr>
      <w:sz w:val="20"/>
    </w:rPr>
  </w:style>
  <w:style w:type="paragraph" w:styleId="828">
    <w:name w:val="Balloon Text"/>
    <w:basedOn w:val="801"/>
    <w:link w:val="1033"/>
    <w:uiPriority w:val="0"/>
    <w:qFormat/>
    <w:rPr>
      <w:sz w:val="18"/>
      <w:szCs w:val="18"/>
    </w:rPr>
  </w:style>
  <w:style w:type="paragraph" w:styleId="829">
    <w:name w:val="Footer"/>
    <w:basedOn w:val="801"/>
    <w:uiPriority w:val="0"/>
    <w:qFormat/>
    <w:pPr>
      <w:tabs>
        <w:tab w:val="center" w:pos="4153" w:leader="none"/>
        <w:tab w:val="right" w:pos="8306" w:leader="none"/>
      </w:tabs>
    </w:pPr>
    <w:rPr>
      <w:sz w:val="18"/>
    </w:rPr>
  </w:style>
  <w:style w:type="paragraph" w:styleId="830">
    <w:name w:val="Header"/>
    <w:basedOn w:val="80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1">
    <w:name w:val="toc 1"/>
    <w:basedOn w:val="801"/>
    <w:next w:val="801"/>
    <w:uiPriority w:val="1"/>
    <w:qFormat/>
    <w:pPr>
      <w:ind w:left="223"/>
      <w:spacing w:before="43"/>
    </w:pPr>
    <w:rPr>
      <w:rFonts w:ascii="黑体" w:hAnsi="黑体" w:eastAsia="黑体" w:cs="黑体"/>
      <w:sz w:val="21"/>
      <w:szCs w:val="21"/>
    </w:rPr>
  </w:style>
  <w:style w:type="paragraph" w:styleId="832">
    <w:name w:val="toc 4"/>
    <w:basedOn w:val="801"/>
    <w:next w:val="801"/>
    <w:uiPriority w:val="39"/>
    <w:unhideWhenUsed/>
    <w:qFormat/>
    <w:pPr>
      <w:ind w:left="850" w:right="0" w:firstLine="0"/>
      <w:spacing w:after="57"/>
    </w:pPr>
  </w:style>
  <w:style w:type="paragraph" w:styleId="833">
    <w:name w:val="index heading"/>
    <w:basedOn w:val="801"/>
    <w:next w:val="834"/>
    <w:uiPriority w:val="0"/>
    <w:semiHidden/>
    <w:qFormat/>
    <w:rPr>
      <w:szCs w:val="20"/>
    </w:rPr>
  </w:style>
  <w:style w:type="paragraph" w:styleId="834">
    <w:name w:val="index 1"/>
    <w:basedOn w:val="801"/>
    <w:next w:val="801"/>
    <w:uiPriority w:val="0"/>
    <w:semiHidden/>
    <w:qFormat/>
    <w:pPr>
      <w:jc w:val="center"/>
    </w:pPr>
    <w:rPr>
      <w:bCs/>
      <w:szCs w:val="20"/>
    </w:rPr>
  </w:style>
  <w:style w:type="paragraph" w:styleId="835">
    <w:name w:val="Subtitle"/>
    <w:basedOn w:val="801"/>
    <w:next w:val="801"/>
    <w:link w:val="869"/>
    <w:uiPriority w:val="11"/>
    <w:qFormat/>
    <w:pPr>
      <w:spacing w:before="200" w:after="200"/>
    </w:pPr>
    <w:rPr>
      <w:sz w:val="24"/>
      <w:szCs w:val="24"/>
    </w:rPr>
  </w:style>
  <w:style w:type="paragraph" w:styleId="836">
    <w:name w:val="List"/>
    <w:basedOn w:val="801"/>
    <w:uiPriority w:val="0"/>
    <w:qFormat/>
    <w:pPr>
      <w:numPr>
        <w:ilvl w:val="0"/>
        <w:numId w:val="1"/>
      </w:numPr>
      <w:spacing w:after="20" w:line="288" w:lineRule="auto"/>
    </w:pPr>
    <w:rPr>
      <w:szCs w:val="20"/>
      <w:lang w:val="en-GB"/>
    </w:rPr>
  </w:style>
  <w:style w:type="paragraph" w:styleId="837">
    <w:name w:val="footnote text"/>
    <w:basedOn w:val="801"/>
    <w:link w:val="1002"/>
    <w:uiPriority w:val="99"/>
    <w:semiHidden/>
    <w:unhideWhenUsed/>
    <w:qFormat/>
    <w:pPr>
      <w:spacing w:after="40" w:line="240" w:lineRule="auto"/>
    </w:pPr>
    <w:rPr>
      <w:sz w:val="18"/>
    </w:rPr>
  </w:style>
  <w:style w:type="paragraph" w:styleId="838">
    <w:name w:val="toc 6"/>
    <w:basedOn w:val="801"/>
    <w:next w:val="801"/>
    <w:uiPriority w:val="39"/>
    <w:unhideWhenUsed/>
    <w:qFormat/>
    <w:pPr>
      <w:ind w:left="1417" w:right="0" w:firstLine="0"/>
      <w:spacing w:after="57"/>
    </w:pPr>
  </w:style>
  <w:style w:type="paragraph" w:styleId="839">
    <w:name w:val="table of figures"/>
    <w:basedOn w:val="801"/>
    <w:next w:val="801"/>
    <w:uiPriority w:val="99"/>
    <w:unhideWhenUsed/>
    <w:qFormat/>
    <w:pPr>
      <w:ind w:left="480" w:hanging="480"/>
      <w:spacing w:line="360" w:lineRule="auto"/>
    </w:pPr>
    <w:rPr>
      <w:rFonts w:ascii="Calibri" w:hAnsi="Calibri" w:cs="Calibri"/>
      <w:smallCaps/>
      <w:sz w:val="20"/>
    </w:rPr>
  </w:style>
  <w:style w:type="paragraph" w:styleId="840">
    <w:name w:val="toc 2"/>
    <w:basedOn w:val="801"/>
    <w:next w:val="801"/>
    <w:uiPriority w:val="1"/>
    <w:qFormat/>
    <w:pPr>
      <w:ind w:left="643"/>
      <w:spacing w:before="43"/>
    </w:pPr>
    <w:rPr>
      <w:sz w:val="21"/>
      <w:szCs w:val="21"/>
    </w:rPr>
  </w:style>
  <w:style w:type="paragraph" w:styleId="841">
    <w:name w:val="toc 9"/>
    <w:basedOn w:val="801"/>
    <w:next w:val="801"/>
    <w:uiPriority w:val="39"/>
    <w:unhideWhenUsed/>
    <w:qFormat/>
    <w:pPr>
      <w:ind w:left="2268" w:right="0" w:firstLine="0"/>
      <w:spacing w:after="57"/>
    </w:pPr>
  </w:style>
  <w:style w:type="paragraph" w:styleId="842">
    <w:name w:val="HTML Preformatted"/>
    <w:basedOn w:val="801"/>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843">
    <w:name w:val="Normal (Web)"/>
    <w:basedOn w:val="801"/>
    <w:uiPriority w:val="0"/>
    <w:qFormat/>
    <w:pPr>
      <w:spacing w:beforeAutospacing="1" w:afterAutospacing="1"/>
    </w:pPr>
    <w:rPr>
      <w:rFonts w:cs="Times New Roman"/>
      <w:sz w:val="24"/>
      <w:lang w:val="en-US" w:bidi="ar-SA"/>
    </w:rPr>
  </w:style>
  <w:style w:type="paragraph" w:styleId="844">
    <w:name w:val="Title"/>
    <w:basedOn w:val="801"/>
    <w:uiPriority w:val="0"/>
    <w:qFormat/>
    <w:pPr>
      <w:jc w:val="center"/>
      <w:spacing w:line="420" w:lineRule="exact"/>
      <w:widowControl/>
    </w:pPr>
    <w:rPr>
      <w:rFonts w:eastAsia="黑体"/>
      <w:b/>
      <w:sz w:val="28"/>
      <w:lang w:val="en-GB"/>
    </w:rPr>
  </w:style>
  <w:style w:type="paragraph" w:styleId="845">
    <w:name w:val="annotation subject"/>
    <w:basedOn w:val="816"/>
    <w:next w:val="816"/>
    <w:link w:val="1036"/>
    <w:uiPriority w:val="0"/>
    <w:qFormat/>
    <w:rPr>
      <w:b/>
      <w:bCs/>
    </w:rPr>
  </w:style>
  <w:style w:type="paragraph" w:styleId="846">
    <w:name w:val="Body Text First Indent"/>
    <w:basedOn w:val="817"/>
    <w:uiPriority w:val="0"/>
    <w:qFormat/>
    <w:pPr>
      <w:ind w:firstLine="420"/>
      <w:spacing w:after="120"/>
    </w:pPr>
    <w:rPr>
      <w:rFonts w:ascii="Times New Roman" w:hAnsi="Times New Roman" w:eastAsia="宋体"/>
      <w:sz w:val="21"/>
      <w:szCs w:val="24"/>
    </w:rPr>
  </w:style>
  <w:style w:type="paragraph" w:styleId="847">
    <w:name w:val="Body Text First Indent 2"/>
    <w:basedOn w:val="819"/>
    <w:next w:val="801"/>
    <w:uiPriority w:val="99"/>
    <w:unhideWhenUsed/>
    <w:qFormat/>
    <w:pPr>
      <w:ind w:firstLine="420"/>
    </w:pPr>
    <w:rPr>
      <w:sz w:val="21"/>
    </w:rPr>
  </w:style>
  <w:style w:type="table" w:styleId="848">
    <w:name w:val="Table Grid"/>
    <w:basedOn w:val="8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basedOn w:val="811"/>
    <w:uiPriority w:val="0"/>
    <w:qFormat/>
    <w:rPr>
      <w:b/>
    </w:rPr>
  </w:style>
  <w:style w:type="character" w:styleId="850">
    <w:name w:val="endnote reference"/>
    <w:basedOn w:val="811"/>
    <w:uiPriority w:val="99"/>
    <w:semiHidden/>
    <w:unhideWhenUsed/>
    <w:qFormat/>
    <w:rPr>
      <w:vertAlign w:val="superscript"/>
    </w:rPr>
  </w:style>
  <w:style w:type="character" w:styleId="851">
    <w:name w:val="Emphasis"/>
    <w:basedOn w:val="811"/>
    <w:uiPriority w:val="0"/>
    <w:qFormat/>
    <w:rPr>
      <w:i/>
    </w:rPr>
  </w:style>
  <w:style w:type="character" w:styleId="852">
    <w:name w:val="Hyperlink"/>
    <w:basedOn w:val="811"/>
    <w:uiPriority w:val="0"/>
    <w:qFormat/>
    <w:rPr>
      <w:color w:val="0000ff"/>
      <w:u w:val="single"/>
    </w:rPr>
  </w:style>
  <w:style w:type="character" w:styleId="853">
    <w:name w:val="annotation reference"/>
    <w:basedOn w:val="811"/>
    <w:uiPriority w:val="0"/>
    <w:qFormat/>
    <w:rPr>
      <w:sz w:val="21"/>
      <w:szCs w:val="21"/>
    </w:rPr>
  </w:style>
  <w:style w:type="character" w:styleId="854">
    <w:name w:val="footnote reference"/>
    <w:basedOn w:val="811"/>
    <w:uiPriority w:val="99"/>
    <w:unhideWhenUsed/>
    <w:qFormat/>
    <w:rPr>
      <w:vertAlign w:val="superscript"/>
    </w:rPr>
  </w:style>
  <w:style w:type="paragraph" w:styleId="855" w:customStyle="1">
    <w:name w:val="首行缩进"/>
    <w:basedOn w:val="801"/>
    <w:uiPriority w:val="0"/>
    <w:qFormat/>
    <w:pPr>
      <w:ind w:firstLine="480"/>
      <w:spacing w:line="360" w:lineRule="auto"/>
    </w:pPr>
    <w:rPr>
      <w:sz w:val="24"/>
      <w:szCs w:val="24"/>
    </w:rPr>
  </w:style>
  <w:style w:type="paragraph" w:styleId="856" w:customStyle="1">
    <w:name w:val="正文文本缩进11"/>
    <w:basedOn w:val="801"/>
    <w:next w:val="857"/>
    <w:uiPriority w:val="0"/>
    <w:unhideWhenUsed/>
    <w:qFormat/>
    <w:pPr>
      <w:ind w:left="420"/>
      <w:spacing w:after="120"/>
    </w:pPr>
  </w:style>
  <w:style w:type="paragraph" w:styleId="857" w:customStyle="1">
    <w:name w:val="正文首行缩进 211"/>
    <w:basedOn w:val="856"/>
    <w:uiPriority w:val="0"/>
    <w:qFormat/>
    <w:pPr>
      <w:ind w:left="0" w:firstLine="420"/>
      <w:spacing w:after="0" w:line="360" w:lineRule="auto"/>
    </w:pPr>
    <w:rPr>
      <w:szCs w:val="20"/>
    </w:rPr>
  </w:style>
  <w:style w:type="character" w:styleId="858" w:customStyle="1">
    <w:name w:val="Heading 1 Char"/>
    <w:basedOn w:val="811"/>
    <w:uiPriority w:val="9"/>
    <w:qFormat/>
    <w:rPr>
      <w:rFonts w:ascii="Arial" w:hAnsi="Arial" w:eastAsia="Arial" w:cs="Arial"/>
      <w:sz w:val="40"/>
      <w:szCs w:val="40"/>
    </w:rPr>
  </w:style>
  <w:style w:type="character" w:styleId="859" w:customStyle="1">
    <w:name w:val="Heading 2 Char"/>
    <w:basedOn w:val="811"/>
    <w:uiPriority w:val="9"/>
    <w:qFormat/>
    <w:rPr>
      <w:rFonts w:ascii="Arial" w:hAnsi="Arial" w:eastAsia="Arial" w:cs="Arial"/>
      <w:sz w:val="34"/>
    </w:rPr>
  </w:style>
  <w:style w:type="character" w:styleId="860" w:customStyle="1">
    <w:name w:val="Heading 3 Char"/>
    <w:basedOn w:val="811"/>
    <w:uiPriority w:val="9"/>
    <w:qFormat/>
    <w:rPr>
      <w:rFonts w:ascii="Arial" w:hAnsi="Arial" w:eastAsia="Arial" w:cs="Arial"/>
      <w:sz w:val="30"/>
      <w:szCs w:val="30"/>
    </w:rPr>
  </w:style>
  <w:style w:type="character" w:styleId="861" w:customStyle="1">
    <w:name w:val="Heading 4 Char"/>
    <w:basedOn w:val="811"/>
    <w:uiPriority w:val="9"/>
    <w:qFormat/>
    <w:rPr>
      <w:rFonts w:ascii="Arial" w:hAnsi="Arial" w:eastAsia="Arial" w:cs="Arial"/>
      <w:b/>
      <w:bCs/>
      <w:sz w:val="26"/>
      <w:szCs w:val="26"/>
    </w:rPr>
  </w:style>
  <w:style w:type="character" w:styleId="862" w:customStyle="1">
    <w:name w:val="Heading 5 Char"/>
    <w:basedOn w:val="811"/>
    <w:link w:val="806"/>
    <w:uiPriority w:val="9"/>
    <w:qFormat/>
    <w:rPr>
      <w:rFonts w:ascii="Arial" w:hAnsi="Arial" w:eastAsia="Arial" w:cs="Arial"/>
      <w:b/>
      <w:bCs/>
      <w:sz w:val="24"/>
      <w:szCs w:val="24"/>
    </w:rPr>
  </w:style>
  <w:style w:type="character" w:styleId="863" w:customStyle="1">
    <w:name w:val="Heading 6 Char"/>
    <w:basedOn w:val="811"/>
    <w:link w:val="807"/>
    <w:uiPriority w:val="9"/>
    <w:qFormat/>
    <w:rPr>
      <w:rFonts w:ascii="Arial" w:hAnsi="Arial" w:eastAsia="Arial" w:cs="Arial"/>
      <w:b/>
      <w:bCs/>
      <w:sz w:val="22"/>
      <w:szCs w:val="22"/>
    </w:rPr>
  </w:style>
  <w:style w:type="character" w:styleId="864" w:customStyle="1">
    <w:name w:val="Heading 7 Char"/>
    <w:basedOn w:val="811"/>
    <w:link w:val="808"/>
    <w:uiPriority w:val="9"/>
    <w:qFormat/>
    <w:rPr>
      <w:rFonts w:ascii="Arial" w:hAnsi="Arial" w:eastAsia="Arial" w:cs="Arial"/>
      <w:b/>
      <w:bCs/>
      <w:i/>
      <w:iCs/>
      <w:sz w:val="22"/>
      <w:szCs w:val="22"/>
    </w:rPr>
  </w:style>
  <w:style w:type="character" w:styleId="865" w:customStyle="1">
    <w:name w:val="Heading 8 Char"/>
    <w:basedOn w:val="811"/>
    <w:link w:val="809"/>
    <w:uiPriority w:val="9"/>
    <w:qFormat/>
    <w:rPr>
      <w:rFonts w:ascii="Arial" w:hAnsi="Arial" w:eastAsia="Arial" w:cs="Arial"/>
      <w:i/>
      <w:iCs/>
      <w:sz w:val="22"/>
      <w:szCs w:val="22"/>
    </w:rPr>
  </w:style>
  <w:style w:type="character" w:styleId="866" w:customStyle="1">
    <w:name w:val="Heading 9 Char"/>
    <w:basedOn w:val="811"/>
    <w:link w:val="810"/>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11"/>
    <w:uiPriority w:val="10"/>
    <w:qFormat/>
    <w:rPr>
      <w:sz w:val="48"/>
      <w:szCs w:val="48"/>
    </w:rPr>
  </w:style>
  <w:style w:type="character" w:styleId="869" w:customStyle="1">
    <w:name w:val="Subtitle Char"/>
    <w:basedOn w:val="811"/>
    <w:link w:val="835"/>
    <w:uiPriority w:val="11"/>
    <w:qFormat/>
    <w:rPr>
      <w:sz w:val="24"/>
      <w:szCs w:val="24"/>
    </w:rPr>
  </w:style>
  <w:style w:type="paragraph" w:styleId="870">
    <w:name w:val="Quote"/>
    <w:basedOn w:val="801"/>
    <w:next w:val="801"/>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01"/>
    <w:next w:val="801"/>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11"/>
    <w:uiPriority w:val="99"/>
    <w:qFormat/>
  </w:style>
  <w:style w:type="character" w:styleId="875" w:customStyle="1">
    <w:name w:val="Footer Char"/>
    <w:basedOn w:val="811"/>
    <w:uiPriority w:val="99"/>
    <w:qFormat/>
  </w:style>
  <w:style w:type="character" w:styleId="876" w:customStyle="1">
    <w:name w:val="Caption Char"/>
    <w:uiPriority w:val="99"/>
    <w:qFormat/>
  </w:style>
  <w:style w:type="table" w:styleId="877"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basedOn w:val="8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basedOn w:val="8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basedOn w:val="8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basedOn w:val="8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basedOn w:val="8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basedOn w:val="8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basedOn w:val="8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basedOn w:val="8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basedOn w:val="8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basedOn w:val="8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basedOn w:val="8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basedOn w:val="8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basedOn w:val="8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basedOn w:val="8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basedOn w:val="8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basedOn w:val="8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basedOn w:val="8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basedOn w:val="8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basedOn w:val="8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basedOn w:val="8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basedOn w:val="8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basedOn w:val="8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basedOn w:val="8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basedOn w:val="8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basedOn w:val="8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basedOn w:val="8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Footnote Text Char"/>
    <w:link w:val="837"/>
    <w:uiPriority w:val="99"/>
    <w:qFormat/>
    <w:rPr>
      <w:sz w:val="18"/>
    </w:rPr>
  </w:style>
  <w:style w:type="character" w:styleId="1003" w:customStyle="1">
    <w:name w:val="Endnote Text Char"/>
    <w:link w:val="827"/>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name w:val="List Paragraph"/>
    <w:basedOn w:val="801"/>
    <w:next w:val="801"/>
    <w:uiPriority w:val="1"/>
    <w:qFormat/>
    <w:pPr>
      <w:ind w:left="223" w:firstLine="420"/>
      <w:spacing w:before="43"/>
    </w:pPr>
  </w:style>
  <w:style w:type="paragraph" w:styleId="1006" w:customStyle="1">
    <w:name w:val="正文文本缩进1"/>
    <w:basedOn w:val="801"/>
    <w:next w:val="1007"/>
    <w:uiPriority w:val="0"/>
    <w:unhideWhenUsed/>
    <w:qFormat/>
    <w:pPr>
      <w:ind w:left="420"/>
      <w:spacing w:after="120"/>
    </w:pPr>
  </w:style>
  <w:style w:type="paragraph" w:styleId="1007" w:customStyle="1">
    <w:name w:val="正文首行缩进 21"/>
    <w:basedOn w:val="1006"/>
    <w:uiPriority w:val="0"/>
    <w:qFormat/>
    <w:pPr>
      <w:ind w:left="0" w:firstLine="420"/>
      <w:spacing w:after="0" w:line="360" w:lineRule="auto"/>
    </w:pPr>
    <w:rPr>
      <w:szCs w:val="20"/>
    </w:rPr>
  </w:style>
  <w:style w:type="paragraph" w:styleId="1008" w:customStyle="1">
    <w:name w:val="正文文本首行缩进 2"/>
    <w:basedOn w:val="1006"/>
    <w:uiPriority w:val="0"/>
    <w:qFormat/>
    <w:pPr>
      <w:ind w:left="0" w:firstLine="420"/>
      <w:spacing w:after="0" w:line="360" w:lineRule="auto"/>
    </w:pPr>
    <w:rPr>
      <w:sz w:val="20"/>
      <w:szCs w:val="20"/>
      <w:lang w:val="en-US" w:eastAsia="en-US"/>
    </w:rPr>
  </w:style>
  <w:style w:type="paragraph" w:styleId="100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10" w:customStyle="1">
    <w:name w:val="索引 41"/>
    <w:basedOn w:val="801"/>
    <w:next w:val="801"/>
    <w:uiPriority w:val="0"/>
    <w:semiHidden/>
    <w:qFormat/>
    <w:pPr>
      <w:ind w:left="1260"/>
    </w:pPr>
    <w:rPr>
      <w:rFonts w:ascii="Calibri" w:hAnsi="Calibri" w:eastAsia="Calibri"/>
      <w:sz w:val="20"/>
    </w:rPr>
  </w:style>
  <w:style w:type="paragraph" w:styleId="1011" w:customStyle="1">
    <w:name w:val="_Style 1"/>
    <w:basedOn w:val="801"/>
    <w:uiPriority w:val="0"/>
    <w:qFormat/>
    <w:pPr>
      <w:ind w:firstLine="420"/>
    </w:pPr>
    <w:rPr>
      <w:sz w:val="20"/>
    </w:rPr>
  </w:style>
  <w:style w:type="table" w:styleId="1012" w:customStyle="1">
    <w:name w:val="Table Normal"/>
    <w:uiPriority w:val="2"/>
    <w:semiHidden/>
    <w:unhideWhenUsed/>
    <w:qFormat/>
    <w:tblPr>
      <w:tblCellMar>
        <w:left w:w="0" w:type="dxa"/>
        <w:top w:w="0" w:type="dxa"/>
        <w:right w:w="0" w:type="dxa"/>
        <w:bottom w:w="0" w:type="dxa"/>
      </w:tblCellMar>
    </w:tblPr>
  </w:style>
  <w:style w:type="paragraph" w:styleId="1013" w:customStyle="1">
    <w:name w:val="Table Paragraph"/>
    <w:basedOn w:val="801"/>
    <w:uiPriority w:val="1"/>
    <w:qFormat/>
  </w:style>
  <w:style w:type="paragraph" w:styleId="1014" w:customStyle="1">
    <w:name w:val="列出段落11"/>
    <w:basedOn w:val="801"/>
    <w:uiPriority w:val="0"/>
    <w:qFormat/>
    <w:pPr>
      <w:ind w:firstLine="420"/>
    </w:pPr>
    <w:rPr>
      <w:rFonts w:ascii="Calibri" w:hAnsi="Calibri"/>
    </w:rPr>
  </w:style>
  <w:style w:type="character" w:styleId="1015" w:customStyle="1">
    <w:name w:val="active"/>
    <w:basedOn w:val="811"/>
    <w:uiPriority w:val="0"/>
    <w:qFormat/>
    <w:rPr>
      <w:shd w:val="clear" w:color="auto" w:fill="f6f6f6"/>
    </w:rPr>
  </w:style>
  <w:style w:type="character" w:styleId="1016" w:customStyle="1">
    <w:name w:val="bsharetext"/>
    <w:basedOn w:val="811"/>
    <w:uiPriority w:val="0"/>
    <w:qFormat/>
  </w:style>
  <w:style w:type="paragraph" w:styleId="1017" w:customStyle="1">
    <w:name w:val="WPSOffice手动目录 1"/>
    <w:uiPriority w:val="0"/>
    <w:qFormat/>
    <w:rPr>
      <w:rFonts w:hint="default" w:ascii="Calibri" w:hAnsi="Calibri" w:eastAsia="宋体" w:cs="Times New Roman"/>
      <w:lang w:val="en-US" w:eastAsia="zh-CN" w:bidi="ar-SA"/>
    </w:rPr>
  </w:style>
  <w:style w:type="paragraph" w:styleId="1018" w:customStyle="1">
    <w:name w:val="WPSOffice手动目录 2"/>
    <w:uiPriority w:val="0"/>
    <w:qFormat/>
    <w:pPr>
      <w:ind w:left="200"/>
    </w:pPr>
    <w:rPr>
      <w:rFonts w:hint="default" w:ascii="Calibri" w:hAnsi="Calibri" w:eastAsia="宋体" w:cs="Times New Roman"/>
      <w:lang w:val="en-US" w:eastAsia="zh-CN" w:bidi="ar-SA"/>
    </w:rPr>
  </w:style>
  <w:style w:type="character" w:styleId="1019" w:customStyle="1">
    <w:name w:val="标题 1 字符"/>
    <w:link w:val="802"/>
    <w:uiPriority w:val="0"/>
    <w:qFormat/>
    <w:rPr>
      <w:rFonts w:ascii="黑体" w:hAnsi="黑体" w:eastAsia="黑体" w:cs="黑体"/>
      <w:sz w:val="30"/>
      <w:szCs w:val="30"/>
      <w:lang w:val="zh-CN" w:eastAsia="zh-CN" w:bidi="zh-CN"/>
    </w:rPr>
  </w:style>
  <w:style w:type="paragraph" w:styleId="1020" w:customStyle="1">
    <w:name w:val="正文1"/>
    <w:next w:val="801"/>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1021" w:customStyle="1">
    <w:name w:val="_Style 193"/>
    <w:basedOn w:val="801"/>
    <w:next w:val="1005"/>
    <w:uiPriority w:val="34"/>
    <w:qFormat/>
    <w:pPr>
      <w:ind w:firstLine="420"/>
    </w:pPr>
    <w:rPr>
      <w:rFonts w:ascii="Calibri" w:hAnsi="Calibri"/>
    </w:rPr>
  </w:style>
  <w:style w:type="character" w:styleId="1022" w:customStyle="1">
    <w:name w:val="font31"/>
    <w:basedOn w:val="811"/>
    <w:uiPriority w:val="0"/>
    <w:qFormat/>
    <w:rPr>
      <w:rFonts w:hint="eastAsia" w:ascii="宋体" w:hAnsi="宋体" w:eastAsia="宋体" w:cs="宋体"/>
      <w:color w:val="ff0000"/>
      <w:sz w:val="24"/>
      <w:szCs w:val="24"/>
      <w:u w:val="none"/>
    </w:rPr>
  </w:style>
  <w:style w:type="character" w:styleId="1023" w:customStyle="1">
    <w:name w:val="font21"/>
    <w:basedOn w:val="811"/>
    <w:uiPriority w:val="0"/>
    <w:qFormat/>
    <w:rPr>
      <w:rFonts w:hint="eastAsia" w:ascii="宋体" w:hAnsi="宋体" w:eastAsia="宋体" w:cs="宋体"/>
      <w:color w:val="000000"/>
      <w:sz w:val="24"/>
      <w:szCs w:val="24"/>
      <w:u w:val="none"/>
    </w:rPr>
  </w:style>
  <w:style w:type="character" w:styleId="1024" w:customStyle="1">
    <w:name w:val="font51"/>
    <w:basedOn w:val="811"/>
    <w:uiPriority w:val="0"/>
    <w:qFormat/>
    <w:rPr>
      <w:rFonts w:hint="eastAsia" w:ascii="宋体" w:hAnsi="宋体" w:eastAsia="宋体" w:cs="宋体"/>
      <w:color w:val="000000"/>
      <w:sz w:val="24"/>
      <w:szCs w:val="24"/>
      <w:u w:val="none"/>
    </w:rPr>
  </w:style>
  <w:style w:type="paragraph" w:styleId="1025" w:customStyle="1">
    <w:name w:val="Table Text"/>
    <w:basedOn w:val="801"/>
    <w:uiPriority w:val="0"/>
    <w:semiHidden/>
    <w:qFormat/>
    <w:rPr>
      <w:sz w:val="21"/>
      <w:szCs w:val="21"/>
      <w:lang w:val="en-US" w:eastAsia="en-US" w:bidi="ar-SA"/>
    </w:rPr>
  </w:style>
  <w:style w:type="paragraph" w:styleId="1026" w:customStyle="1">
    <w:name w:val="Other|1"/>
    <w:basedOn w:val="801"/>
    <w:uiPriority w:val="0"/>
    <w:qFormat/>
    <w:rPr>
      <w:rFonts w:eastAsiaTheme="minorEastAsia"/>
      <w:lang w:val="zh-TW" w:eastAsia="zh-TW" w:bidi="zh-TW"/>
    </w:rPr>
  </w:style>
  <w:style w:type="paragraph" w:styleId="1027" w:customStyle="1">
    <w:name w:val="正文文本1"/>
    <w:basedOn w:val="801"/>
    <w:next w:val="818"/>
    <w:uiPriority w:val="0"/>
    <w:qFormat/>
    <w:pPr>
      <w:spacing w:after="120"/>
    </w:pPr>
  </w:style>
  <w:style w:type="paragraph" w:styleId="1028" w:customStyle="1">
    <w:name w:val="标题1，章节第一层"/>
    <w:basedOn w:val="801"/>
    <w:next w:val="801"/>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1029" w:customStyle="1">
    <w:name w:val="正文格式"/>
    <w:basedOn w:val="801"/>
    <w:uiPriority w:val="0"/>
    <w:qFormat/>
    <w:pPr>
      <w:ind w:left="178" w:right="44" w:hanging="178"/>
      <w:spacing w:line="360" w:lineRule="auto"/>
      <w:widowControl/>
    </w:pPr>
    <w:rPr>
      <w:bCs/>
      <w:szCs w:val="21"/>
    </w:rPr>
  </w:style>
  <w:style w:type="paragraph" w:styleId="1030" w:customStyle="1">
    <w:name w:val="列出段落1"/>
    <w:basedOn w:val="801"/>
    <w:next w:val="801"/>
    <w:uiPriority w:val="99"/>
    <w:qFormat/>
    <w:pPr>
      <w:contextualSpacing/>
      <w:ind w:left="720"/>
      <w:widowControl/>
    </w:pPr>
    <w:rPr>
      <w:rFonts w:ascii="Arial" w:hAnsi="Arial" w:eastAsia="黑体"/>
      <w:sz w:val="24"/>
      <w:szCs w:val="24"/>
      <w:lang w:eastAsia="en-US"/>
    </w:rPr>
  </w:style>
  <w:style w:type="character" w:styleId="1031" w:customStyle="1">
    <w:name w:val="NormalCharacter"/>
    <w:uiPriority w:val="0"/>
    <w:semiHidden/>
    <w:qFormat/>
  </w:style>
  <w:style w:type="character" w:styleId="1032" w:customStyle="1">
    <w:name w:val="font81"/>
    <w:basedOn w:val="811"/>
    <w:uiPriority w:val="0"/>
    <w:qFormat/>
    <w:rPr>
      <w:rFonts w:hint="eastAsia" w:ascii="宋体" w:hAnsi="宋体" w:eastAsia="宋体" w:cs="宋体"/>
      <w:color w:val="000000"/>
      <w:sz w:val="20"/>
      <w:szCs w:val="20"/>
      <w:u w:val="none"/>
    </w:rPr>
  </w:style>
  <w:style w:type="character" w:styleId="1033" w:customStyle="1">
    <w:name w:val="批注框文本 字符"/>
    <w:basedOn w:val="811"/>
    <w:link w:val="828"/>
    <w:uiPriority w:val="0"/>
    <w:qFormat/>
    <w:rPr>
      <w:rFonts w:ascii="宋体" w:hAnsi="宋体" w:cs="宋体"/>
      <w:sz w:val="18"/>
      <w:szCs w:val="18"/>
      <w:lang w:val="zh-CN" w:bidi="zh-CN"/>
    </w:rPr>
  </w:style>
  <w:style w:type="paragraph" w:styleId="1034" w:customStyle="1">
    <w:name w:val="1-1 文本正文"/>
    <w:basedOn w:val="801"/>
    <w:uiPriority w:val="0"/>
    <w:qFormat/>
    <w:pPr>
      <w:ind w:firstLine="480"/>
      <w:spacing w:line="360" w:lineRule="auto"/>
    </w:pPr>
    <w:rPr>
      <w:rFonts w:hint="eastAsia" w:ascii="仿宋_GB2312" w:hAnsi="仿宋_GB2312" w:eastAsia="仿宋_GB2312"/>
      <w:bCs/>
      <w:iCs/>
      <w:color w:val="000000"/>
    </w:rPr>
  </w:style>
  <w:style w:type="character" w:styleId="1035" w:customStyle="1">
    <w:name w:val="批注文字 字符"/>
    <w:basedOn w:val="811"/>
    <w:link w:val="816"/>
    <w:uiPriority w:val="0"/>
    <w:qFormat/>
    <w:rPr>
      <w:rFonts w:ascii="宋体" w:hAnsi="宋体" w:cs="宋体"/>
      <w:sz w:val="22"/>
      <w:szCs w:val="22"/>
      <w:lang w:val="zh-CN" w:bidi="zh-CN"/>
    </w:rPr>
  </w:style>
  <w:style w:type="character" w:styleId="1036" w:customStyle="1">
    <w:name w:val="批注主题 字符"/>
    <w:basedOn w:val="1035"/>
    <w:link w:val="845"/>
    <w:uiPriority w:val="0"/>
    <w:qFormat/>
    <w:rPr>
      <w:rFonts w:ascii="宋体" w:hAnsi="宋体" w:cs="宋体"/>
      <w:b/>
      <w:bCs/>
      <w:sz w:val="22"/>
      <w:szCs w:val="22"/>
      <w:lang w:val="zh-CN" w:bidi="zh-CN"/>
    </w:rPr>
  </w:style>
  <w:style w:type="character" w:styleId="1037" w:customStyle="1">
    <w:name w:val="font01"/>
    <w:basedOn w:val="811"/>
    <w:uiPriority w:val="0"/>
    <w:qFormat/>
    <w:rPr>
      <w:rFonts w:ascii="Calibri" w:hAnsi="Calibri" w:cs="Calibri"/>
      <w:color w:val="000000"/>
      <w:sz w:val="20"/>
      <w:szCs w:val="20"/>
      <w:u w:val="none"/>
    </w:rPr>
  </w:style>
  <w:style w:type="paragraph" w:styleId="1038" w:customStyle="1">
    <w:name w:val="正文缩进1"/>
    <w:basedOn w:val="801"/>
    <w:uiPriority w:val="0"/>
    <w:qFormat/>
    <w:pPr>
      <w:ind w:firstLine="420"/>
    </w:pPr>
    <w:rPr>
      <w:szCs w:val="20"/>
    </w:rPr>
  </w:style>
  <w:style w:type="paragraph" w:styleId="1039" w:customStyle="1">
    <w:name w:val="正文2"/>
    <w:basedOn w:val="801"/>
    <w:uiPriority w:val="0"/>
    <w:qFormat/>
    <w:pPr>
      <w:ind w:firstLine="510"/>
      <w:spacing w:before="156" w:line="360" w:lineRule="auto"/>
    </w:pPr>
    <w:rPr>
      <w:sz w:val="24"/>
      <w:szCs w:val="20"/>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夏平平</dc:creator>
  <cp:lastModifiedBy>杭健贤</cp:lastModifiedBy>
  <cp:revision>18</cp:revision>
  <dcterms:created xsi:type="dcterms:W3CDTF">2024-07-19T08:36:00Z</dcterms:created>
  <dcterms:modified xsi:type="dcterms:W3CDTF">2025-12-30T06:39:50Z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Creator">
    <vt:lpwstr>WPS 文字</vt:lpwstr>
  </property>
  <property fmtid="{D5CDD505-2E9C-101B-9397-08002B2CF9AE}" pid="4" name="LastSaved">
    <vt:filetime>2019-07-31T00:00:00Z</vt:filetime>
  </property>
  <property fmtid="{D5CDD505-2E9C-101B-9397-08002B2CF9AE}" pid="5" name="KSOProductBuildVer">
    <vt:lpwstr>2052-12.1.0.19770</vt:lpwstr>
  </property>
  <property fmtid="{D5CDD505-2E9C-101B-9397-08002B2CF9AE}" pid="6" name="ICV">
    <vt:lpwstr>2FD4E6D7B74D4BE9A07DDE56EE7FC248_13</vt:lpwstr>
  </property>
  <property fmtid="{D5CDD505-2E9C-101B-9397-08002B2CF9AE}" pid="7" name="KSOTemplateDocerSaveRecord">
    <vt:lpwstr>eyJoZGlkIjoiOGFkMzZhN2Q3N2Q2YzJiODZjZmJjMzY2YmZhYWMwYTQiLCJ1c2VySWQiOiI1ODIyNDcwODEifQ==</vt:lpwstr>
  </property>
</Properties>
</file>